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E5D" w:rsidRPr="0088688B" w:rsidRDefault="00B60E5D" w:rsidP="00C3622A">
      <w:pPr>
        <w:pStyle w:val="Heading3"/>
        <w:jc w:val="both"/>
        <w:rPr>
          <w:rFonts w:ascii="Calibri" w:hAnsi="Calibri"/>
          <w:szCs w:val="28"/>
        </w:rPr>
      </w:pPr>
      <w:r w:rsidRPr="0088688B">
        <w:rPr>
          <w:rFonts w:ascii="Calibri" w:hAnsi="Calibri"/>
          <w:szCs w:val="28"/>
        </w:rPr>
        <w:t>Media release</w:t>
      </w:r>
    </w:p>
    <w:p w:rsidR="00B60E5D" w:rsidRPr="0088688B" w:rsidRDefault="00DD0840" w:rsidP="0088688B">
      <w:pPr>
        <w:jc w:val="both"/>
        <w:rPr>
          <w:sz w:val="28"/>
          <w:szCs w:val="28"/>
        </w:rPr>
      </w:pPr>
      <w:r>
        <w:rPr>
          <w:sz w:val="28"/>
          <w:szCs w:val="28"/>
        </w:rPr>
        <w:t>10</w:t>
      </w:r>
      <w:r w:rsidR="00B60E5D" w:rsidRPr="0088688B">
        <w:rPr>
          <w:sz w:val="28"/>
          <w:szCs w:val="28"/>
          <w:vertAlign w:val="superscript"/>
        </w:rPr>
        <w:t>th</w:t>
      </w:r>
      <w:r w:rsidR="00B60E5D" w:rsidRPr="0088688B">
        <w:rPr>
          <w:sz w:val="28"/>
          <w:szCs w:val="28"/>
        </w:rPr>
        <w:t xml:space="preserve"> </w:t>
      </w:r>
      <w:r>
        <w:rPr>
          <w:sz w:val="28"/>
          <w:szCs w:val="28"/>
        </w:rPr>
        <w:t>June</w:t>
      </w:r>
    </w:p>
    <w:p w:rsidR="00B60E5D" w:rsidRDefault="00E56F18" w:rsidP="0088688B">
      <w:pPr>
        <w:jc w:val="both"/>
        <w:rPr>
          <w:b/>
          <w:sz w:val="32"/>
        </w:rPr>
      </w:pPr>
      <w:r>
        <w:rPr>
          <w:b/>
          <w:sz w:val="32"/>
        </w:rPr>
        <w:t>Supply and demand drive up values</w:t>
      </w:r>
    </w:p>
    <w:p w:rsidR="00DD0840" w:rsidRDefault="002111DB" w:rsidP="008C0C0F">
      <w:pPr>
        <w:spacing w:after="0" w:line="240" w:lineRule="auto"/>
      </w:pPr>
      <w:r w:rsidRPr="00410A23">
        <w:t>The latest monthly property value index shows that nationwide residential valu</w:t>
      </w:r>
      <w:r w:rsidR="00F51D7D" w:rsidRPr="00410A23">
        <w:t xml:space="preserve">es </w:t>
      </w:r>
      <w:r w:rsidR="00E20DA1" w:rsidRPr="00410A23">
        <w:t>increased further i</w:t>
      </w:r>
      <w:r w:rsidR="00F51D7D" w:rsidRPr="00410A23">
        <w:t xml:space="preserve">n </w:t>
      </w:r>
      <w:r w:rsidR="00DD0840">
        <w:t>May</w:t>
      </w:r>
      <w:r w:rsidR="001C3538" w:rsidRPr="00125EE5">
        <w:t xml:space="preserve">. </w:t>
      </w:r>
      <w:r w:rsidR="00D342DE">
        <w:t xml:space="preserve">The annual change in values remains 7.1%, with an increase of </w:t>
      </w:r>
      <w:r w:rsidR="00DD0840">
        <w:t>1.7% over the past three months.  Values are now up 5.0% over the previous market peak of late 2007.</w:t>
      </w:r>
    </w:p>
    <w:p w:rsidR="00B60E5D" w:rsidRDefault="00B60E5D" w:rsidP="007537D5">
      <w:pPr>
        <w:spacing w:after="0" w:line="240" w:lineRule="auto"/>
        <w:rPr>
          <w:noProof/>
          <w:lang w:eastAsia="en-NZ"/>
        </w:rPr>
      </w:pPr>
    </w:p>
    <w:p w:rsidR="00F51D7D" w:rsidRDefault="00DD0840" w:rsidP="007537D5">
      <w:pPr>
        <w:spacing w:after="0" w:line="240" w:lineRule="auto"/>
      </w:pPr>
      <w:r w:rsidRPr="00DD0840">
        <w:rPr>
          <w:noProof/>
          <w:lang w:val="en-US"/>
        </w:rPr>
        <w:drawing>
          <wp:inline distT="0" distB="0" distL="0" distR="0">
            <wp:extent cx="5196417" cy="44450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17A4B" w:rsidRPr="000C4DDD" w:rsidRDefault="00717A4B" w:rsidP="007537D5">
      <w:pPr>
        <w:spacing w:after="0" w:line="240" w:lineRule="auto"/>
      </w:pPr>
    </w:p>
    <w:p w:rsidR="00366EA0" w:rsidRDefault="00DD0840" w:rsidP="009C5A76">
      <w:pPr>
        <w:pStyle w:val="NoSpacing"/>
      </w:pPr>
      <w:r w:rsidRPr="00DD0840">
        <w:t>Jonno Ingerson</w:t>
      </w:r>
      <w:r w:rsidR="005A1830" w:rsidRPr="00DD0840">
        <w:t>, QV</w:t>
      </w:r>
      <w:r w:rsidRPr="00DD0840">
        <w:t>.co.nz Research Director</w:t>
      </w:r>
      <w:r w:rsidR="005A1830" w:rsidRPr="00DD0840">
        <w:t xml:space="preserve"> said</w:t>
      </w:r>
      <w:r w:rsidR="00CD62BB" w:rsidRPr="00AC57D4">
        <w:t xml:space="preserve"> “</w:t>
      </w:r>
      <w:r w:rsidR="00366EA0">
        <w:t>Nationwide values continue to climb strongly, but that isn’t the case right across the country</w:t>
      </w:r>
      <w:r w:rsidR="00344D2D">
        <w:t>.</w:t>
      </w:r>
      <w:r w:rsidR="00366EA0">
        <w:t xml:space="preserve"> Values are increasing fastest in Auckland and to a lesser extent Christchurch, </w:t>
      </w:r>
      <w:r w:rsidR="003411FA">
        <w:t>with</w:t>
      </w:r>
      <w:r w:rsidR="00366EA0">
        <w:t xml:space="preserve"> both cities driven by a lack of supply”.</w:t>
      </w:r>
    </w:p>
    <w:p w:rsidR="00366EA0" w:rsidRDefault="00366EA0" w:rsidP="009C5A76">
      <w:pPr>
        <w:pStyle w:val="NoSpacing"/>
      </w:pPr>
    </w:p>
    <w:p w:rsidR="00211D2B" w:rsidRDefault="00366EA0" w:rsidP="009C5A76">
      <w:pPr>
        <w:pStyle w:val="NoSpacing"/>
      </w:pPr>
      <w:r>
        <w:t xml:space="preserve">“The rest of the main centres are also increasing in value, although at a much more modest rate, </w:t>
      </w:r>
      <w:r w:rsidR="00C76592">
        <w:t>reflecting a general increase in consumer confidence. Values are more variable in the rural towns in response to local economic conditions</w:t>
      </w:r>
      <w:r w:rsidR="00D849C7">
        <w:t>,</w:t>
      </w:r>
      <w:r w:rsidR="009C5A76">
        <w:t>”</w:t>
      </w:r>
      <w:r w:rsidR="00C76592">
        <w:t xml:space="preserve"> said Ingerson.</w:t>
      </w:r>
    </w:p>
    <w:p w:rsidR="00932E37" w:rsidRDefault="00932E37" w:rsidP="009C5A76">
      <w:pPr>
        <w:pStyle w:val="NoSpacing"/>
      </w:pPr>
    </w:p>
    <w:p w:rsidR="005D50B1" w:rsidRDefault="00932E37" w:rsidP="009C5A76">
      <w:pPr>
        <w:pStyle w:val="NoSpacing"/>
      </w:pPr>
      <w:r>
        <w:t>“</w:t>
      </w:r>
      <w:r w:rsidR="0085502F">
        <w:t>Given that the current increase in values in Auckland and Christchurch is largely driven by strong demand and short supply, values are likely to continue to</w:t>
      </w:r>
      <w:r w:rsidR="00883E6D">
        <w:t xml:space="preserve"> increase in the coming months</w:t>
      </w:r>
      <w:r w:rsidR="005A20CE">
        <w:t>,</w:t>
      </w:r>
      <w:r w:rsidR="00753162">
        <w:t xml:space="preserve">” said </w:t>
      </w:r>
      <w:r w:rsidR="00DD0840">
        <w:t>Ingerson</w:t>
      </w:r>
      <w:r w:rsidR="005D50B1">
        <w:t>.</w:t>
      </w:r>
    </w:p>
    <w:p w:rsidR="005D50B1" w:rsidRDefault="005D50B1" w:rsidP="003B26B2">
      <w:pPr>
        <w:pStyle w:val="NoSpacing"/>
      </w:pPr>
    </w:p>
    <w:p w:rsidR="006450E7" w:rsidRPr="007216CF" w:rsidRDefault="007216CF" w:rsidP="006450E7">
      <w:pPr>
        <w:pStyle w:val="NoSpacing"/>
        <w:rPr>
          <w:b/>
        </w:rPr>
      </w:pPr>
      <w:r w:rsidRPr="007216CF">
        <w:rPr>
          <w:b/>
        </w:rPr>
        <w:t>Auckland</w:t>
      </w:r>
    </w:p>
    <w:p w:rsidR="00910438" w:rsidRPr="00115BE7" w:rsidRDefault="007216CF" w:rsidP="006450E7">
      <w:pPr>
        <w:pStyle w:val="NoSpacing"/>
      </w:pPr>
      <w:r w:rsidRPr="007831A1">
        <w:t xml:space="preserve">Values across Auckland </w:t>
      </w:r>
      <w:r w:rsidR="00115BE7">
        <w:t xml:space="preserve">have </w:t>
      </w:r>
      <w:r w:rsidR="00C16052">
        <w:t xml:space="preserve">again increased, </w:t>
      </w:r>
      <w:r w:rsidR="00115BE7">
        <w:t>now up 12</w:t>
      </w:r>
      <w:r w:rsidR="00C16052">
        <w:t>.7</w:t>
      </w:r>
      <w:r w:rsidR="007831A1" w:rsidRPr="007831A1">
        <w:t>% over the past year.</w:t>
      </w:r>
      <w:r w:rsidR="007831A1">
        <w:t xml:space="preserve">  </w:t>
      </w:r>
      <w:r w:rsidR="00C16052">
        <w:t xml:space="preserve">Over the past few months </w:t>
      </w:r>
      <w:r w:rsidR="003F0CF6">
        <w:t xml:space="preserve">values in </w:t>
      </w:r>
      <w:r w:rsidR="007831A1">
        <w:t xml:space="preserve">Rodney and old Auckland City </w:t>
      </w:r>
      <w:r w:rsidR="003F0CF6">
        <w:t xml:space="preserve">had been increasing slower than the rest of </w:t>
      </w:r>
      <w:r w:rsidR="003F0CF6">
        <w:lastRenderedPageBreak/>
        <w:t>Auckland</w:t>
      </w:r>
      <w:r w:rsidR="00C16052">
        <w:t>.  However both have seen an increase over the past three months, 3.3% and 3.7% respectively, which now aligns with growth in the rest of the city</w:t>
      </w:r>
      <w:r w:rsidR="007831A1">
        <w:t xml:space="preserve">.  </w:t>
      </w:r>
      <w:r w:rsidR="00115BE7">
        <w:t xml:space="preserve">Waitakere </w:t>
      </w:r>
      <w:r w:rsidR="00C16052">
        <w:t xml:space="preserve">has again </w:t>
      </w:r>
      <w:r w:rsidR="00115BE7">
        <w:t xml:space="preserve">seen the highest increase </w:t>
      </w:r>
      <w:r w:rsidR="00C16052">
        <w:t>at 3.9</w:t>
      </w:r>
      <w:r w:rsidR="00115BE7">
        <w:t>%</w:t>
      </w:r>
      <w:r w:rsidR="00C16052">
        <w:t xml:space="preserve"> over the past three months</w:t>
      </w:r>
      <w:r w:rsidR="003F0CF6">
        <w:t>.</w:t>
      </w:r>
      <w:r w:rsidR="00115BE7">
        <w:t xml:space="preserve"> </w:t>
      </w:r>
      <w:r w:rsidR="007831A1">
        <w:t xml:space="preserve">Overall, values are still </w:t>
      </w:r>
      <w:r w:rsidR="00C16052">
        <w:t>rising and well</w:t>
      </w:r>
      <w:r w:rsidR="007831A1">
        <w:t xml:space="preserve"> above last year, with North Shore</w:t>
      </w:r>
      <w:r w:rsidR="00115BE7">
        <w:t>, old Auckland City, Wa</w:t>
      </w:r>
      <w:r w:rsidR="00AC29A7">
        <w:t>i</w:t>
      </w:r>
      <w:r w:rsidR="00115BE7">
        <w:t xml:space="preserve">takere and </w:t>
      </w:r>
      <w:r w:rsidR="00D33DCA">
        <w:t>Manukau</w:t>
      </w:r>
      <w:r w:rsidR="00115BE7">
        <w:t xml:space="preserve"> all </w:t>
      </w:r>
      <w:r w:rsidR="00E73E44">
        <w:t>around</w:t>
      </w:r>
      <w:r w:rsidR="00115BE7">
        <w:t xml:space="preserve"> 12</w:t>
      </w:r>
      <w:r w:rsidR="00C16052">
        <w:t>-13</w:t>
      </w:r>
      <w:r w:rsidR="00115BE7">
        <w:t xml:space="preserve">% </w:t>
      </w:r>
      <w:r w:rsidR="00E73E44">
        <w:t>up on last year</w:t>
      </w:r>
      <w:r w:rsidR="007831A1">
        <w:t>.</w:t>
      </w:r>
    </w:p>
    <w:p w:rsidR="007216CF" w:rsidRDefault="00910438" w:rsidP="006450E7">
      <w:pPr>
        <w:pStyle w:val="NoSpacing"/>
      </w:pPr>
      <w:r>
        <w:t xml:space="preserve"> </w:t>
      </w:r>
    </w:p>
    <w:p w:rsidR="00A73D0E" w:rsidRDefault="0004514C" w:rsidP="006450E7">
      <w:pPr>
        <w:pStyle w:val="NoSpacing"/>
      </w:pPr>
      <w:r w:rsidRPr="00A73D0E">
        <w:t xml:space="preserve">QV </w:t>
      </w:r>
      <w:r w:rsidR="006B4912" w:rsidRPr="00A73D0E">
        <w:t xml:space="preserve">Operations Manager </w:t>
      </w:r>
      <w:r w:rsidR="00BC211A" w:rsidRPr="00A73D0E">
        <w:t>Kerry Stewart</w:t>
      </w:r>
      <w:r w:rsidRPr="00A73D0E">
        <w:t xml:space="preserve"> said</w:t>
      </w:r>
      <w:r>
        <w:t xml:space="preserve"> </w:t>
      </w:r>
      <w:r w:rsidR="00910438">
        <w:t>“</w:t>
      </w:r>
      <w:r w:rsidR="00A73D0E">
        <w:t xml:space="preserve">Prices are still very high across Auckland as a somewhat </w:t>
      </w:r>
      <w:r w:rsidR="00A73D0E" w:rsidRPr="00CE209B">
        <w:t xml:space="preserve">desperate feel amongst buyers who are searching for good properties at reasonable prices is appearing.  </w:t>
      </w:r>
      <w:r w:rsidR="00CE209B" w:rsidRPr="00CE209B">
        <w:t xml:space="preserve">The speed with which people have to </w:t>
      </w:r>
      <w:r w:rsidR="00CE209B">
        <w:t>make an</w:t>
      </w:r>
      <w:r w:rsidR="00CE209B" w:rsidRPr="00CE209B">
        <w:t xml:space="preserve"> offer has seen some forego the usual due diligence, which leaves them exposed to </w:t>
      </w:r>
      <w:r w:rsidR="00CE209B">
        <w:t xml:space="preserve">potential </w:t>
      </w:r>
      <w:r w:rsidR="00CE209B" w:rsidRPr="00CE209B">
        <w:t>risks associated with the property</w:t>
      </w:r>
      <w:r w:rsidR="003F0CF6" w:rsidRPr="00CE209B">
        <w:t>.</w:t>
      </w:r>
      <w:r w:rsidR="00A73D0E" w:rsidRPr="00CE209B">
        <w:t>”</w:t>
      </w:r>
    </w:p>
    <w:p w:rsidR="00A73D0E" w:rsidRDefault="00A73D0E" w:rsidP="006450E7">
      <w:pPr>
        <w:pStyle w:val="NoSpacing"/>
      </w:pPr>
    </w:p>
    <w:p w:rsidR="00640591" w:rsidRDefault="00640591" w:rsidP="006450E7">
      <w:pPr>
        <w:pStyle w:val="NoSpacing"/>
      </w:pPr>
      <w:r>
        <w:t>“</w:t>
      </w:r>
      <w:r w:rsidR="00A73D0E">
        <w:t xml:space="preserve">Buyers are still looking further afield with areas such as Mt </w:t>
      </w:r>
      <w:proofErr w:type="spellStart"/>
      <w:r w:rsidR="00A73D0E">
        <w:t>Roskill</w:t>
      </w:r>
      <w:proofErr w:type="spellEnd"/>
      <w:r w:rsidR="00A73D0E">
        <w:t xml:space="preserve"> in the central southern suburbs </w:t>
      </w:r>
      <w:r w:rsidR="00A73D0E" w:rsidRPr="00A73D0E">
        <w:t>seeing sales up to and over $1 million.  Prices this high have previously been very uncommon,”</w:t>
      </w:r>
      <w:r w:rsidR="00E872CA">
        <w:t xml:space="preserve"> </w:t>
      </w:r>
      <w:r w:rsidR="00BC211A" w:rsidRPr="00A73D0E">
        <w:t>said</w:t>
      </w:r>
      <w:r w:rsidRPr="00A73D0E">
        <w:t xml:space="preserve"> </w:t>
      </w:r>
      <w:r w:rsidR="00BC211A" w:rsidRPr="00A73D0E">
        <w:t>Stewart</w:t>
      </w:r>
      <w:r w:rsidRPr="00A73D0E">
        <w:t>.</w:t>
      </w:r>
    </w:p>
    <w:p w:rsidR="007216CF" w:rsidRDefault="007216CF" w:rsidP="003B26B2">
      <w:pPr>
        <w:pStyle w:val="NoSpacing"/>
      </w:pPr>
    </w:p>
    <w:p w:rsidR="007216CF" w:rsidRDefault="00EE32B5" w:rsidP="003B26B2">
      <w:pPr>
        <w:pStyle w:val="NoSpacing"/>
        <w:rPr>
          <w:b/>
        </w:rPr>
      </w:pPr>
      <w:r>
        <w:rPr>
          <w:b/>
        </w:rPr>
        <w:t>Hamilton and Tauranga</w:t>
      </w:r>
    </w:p>
    <w:p w:rsidR="00E73E44" w:rsidRDefault="006450E7" w:rsidP="009226A6">
      <w:pPr>
        <w:pStyle w:val="NoSpacing"/>
      </w:pPr>
      <w:r w:rsidRPr="00050256">
        <w:t>Outside of Auckland, t</w:t>
      </w:r>
      <w:r w:rsidR="0093688D" w:rsidRPr="00050256">
        <w:t xml:space="preserve">he main cities are </w:t>
      </w:r>
      <w:r w:rsidR="00E73E44">
        <w:t xml:space="preserve">generally </w:t>
      </w:r>
      <w:r w:rsidR="00A800BB">
        <w:t>still increasing</w:t>
      </w:r>
      <w:r w:rsidR="00753162">
        <w:t xml:space="preserve">.  </w:t>
      </w:r>
      <w:r w:rsidR="00E73E44">
        <w:t xml:space="preserve">Although improved confidence in </w:t>
      </w:r>
      <w:r w:rsidR="00A800BB">
        <w:t>areas such as Tauranga</w:t>
      </w:r>
      <w:r w:rsidR="00E73E44">
        <w:t xml:space="preserve"> continues</w:t>
      </w:r>
      <w:r w:rsidR="00753162">
        <w:t>,</w:t>
      </w:r>
      <w:r w:rsidR="00E73E44">
        <w:t xml:space="preserve"> values are still fluctuating and show little sign of increasing as much as other main cities.  The small amount of growth seen in Tauranga last month has faded, now only 0.5% up over the past three months.  This leaves Tauranga 0.2% down on this time last year.  </w:t>
      </w:r>
    </w:p>
    <w:p w:rsidR="00E73E44" w:rsidRDefault="00E73E44" w:rsidP="009226A6">
      <w:pPr>
        <w:pStyle w:val="NoSpacing"/>
      </w:pPr>
    </w:p>
    <w:p w:rsidR="008F7C63" w:rsidRDefault="00A800BB" w:rsidP="003B26B2">
      <w:pPr>
        <w:pStyle w:val="NoSpacing"/>
      </w:pPr>
      <w:r>
        <w:t>QV Valuer Paul Thomas said “</w:t>
      </w:r>
      <w:r w:rsidR="008F7C63">
        <w:t>Although there is increased confidence this has</w:t>
      </w:r>
      <w:r w:rsidR="00D849C7">
        <w:t>n’t translated to an increase in</w:t>
      </w:r>
      <w:r w:rsidR="008F7C63">
        <w:t xml:space="preserve"> values.  </w:t>
      </w:r>
      <w:r w:rsidR="00AF5307">
        <w:t>T</w:t>
      </w:r>
      <w:r w:rsidR="003F0CF6">
        <w:t xml:space="preserve">here is </w:t>
      </w:r>
      <w:r w:rsidR="00D849C7">
        <w:t xml:space="preserve">continued buyer </w:t>
      </w:r>
      <w:r w:rsidR="003F0CF6">
        <w:t>enquiry from Aucklander</w:t>
      </w:r>
      <w:r w:rsidR="008F7C63">
        <w:t>s</w:t>
      </w:r>
      <w:r w:rsidR="00AF5307">
        <w:t xml:space="preserve"> however</w:t>
      </w:r>
      <w:r w:rsidR="008F7C63">
        <w:t xml:space="preserve"> </w:t>
      </w:r>
      <w:r w:rsidR="003F0CF6">
        <w:t>few are</w:t>
      </w:r>
      <w:r w:rsidR="008F7C63">
        <w:t xml:space="preserve"> actually turning into purc</w:t>
      </w:r>
      <w:r w:rsidR="003F0CF6">
        <w:t>hasers</w:t>
      </w:r>
      <w:r w:rsidR="00D849C7">
        <w:t xml:space="preserve"> due to lack of employment opportunities</w:t>
      </w:r>
      <w:r w:rsidR="003F0CF6">
        <w:t>.”</w:t>
      </w:r>
    </w:p>
    <w:p w:rsidR="004076E4" w:rsidRDefault="004076E4" w:rsidP="003B26B2">
      <w:pPr>
        <w:pStyle w:val="NoSpacing"/>
      </w:pPr>
    </w:p>
    <w:p w:rsidR="004076E4" w:rsidRDefault="004076E4" w:rsidP="003B26B2">
      <w:pPr>
        <w:pStyle w:val="NoSpacing"/>
      </w:pPr>
      <w:r>
        <w:t>Hamilton has also slipped back slightly with 0.9% growth over the past three months and a 4.3% increase on last year.</w:t>
      </w:r>
    </w:p>
    <w:p w:rsidR="00A800BB" w:rsidRDefault="00A800BB" w:rsidP="003B26B2">
      <w:pPr>
        <w:pStyle w:val="NoSpacing"/>
      </w:pPr>
    </w:p>
    <w:p w:rsidR="004076E4" w:rsidRDefault="00EE32B5" w:rsidP="003B26B2">
      <w:pPr>
        <w:pStyle w:val="NoSpacing"/>
      </w:pPr>
      <w:r>
        <w:t xml:space="preserve">QV Valuer Richard Allen </w:t>
      </w:r>
      <w:r w:rsidR="004076E4">
        <w:t>said</w:t>
      </w:r>
      <w:r>
        <w:t xml:space="preserve"> “</w:t>
      </w:r>
      <w:r w:rsidR="004076E4">
        <w:t>There appears to be a steady supply and demand in the market as well as early signs of investors starting to take more interest in the market.”</w:t>
      </w:r>
    </w:p>
    <w:p w:rsidR="00A800BB" w:rsidRDefault="00A800BB" w:rsidP="003B26B2">
      <w:pPr>
        <w:pStyle w:val="NoSpacing"/>
      </w:pPr>
    </w:p>
    <w:p w:rsidR="00EE32B5" w:rsidRPr="00EE32B5" w:rsidRDefault="00EE32B5" w:rsidP="003B26B2">
      <w:pPr>
        <w:pStyle w:val="NoSpacing"/>
        <w:rPr>
          <w:b/>
        </w:rPr>
      </w:pPr>
      <w:r>
        <w:rPr>
          <w:b/>
        </w:rPr>
        <w:t>Wellington</w:t>
      </w:r>
    </w:p>
    <w:p w:rsidR="00E04AD2" w:rsidRDefault="009226A6" w:rsidP="003B26B2">
      <w:pPr>
        <w:pStyle w:val="NoSpacing"/>
      </w:pPr>
      <w:r>
        <w:t xml:space="preserve">Values in the </w:t>
      </w:r>
      <w:r w:rsidR="0093688D" w:rsidRPr="00050256">
        <w:t>Wellington</w:t>
      </w:r>
      <w:r w:rsidR="00050256">
        <w:t xml:space="preserve"> </w:t>
      </w:r>
      <w:r>
        <w:t xml:space="preserve">area </w:t>
      </w:r>
      <w:r w:rsidR="00BF493B">
        <w:t xml:space="preserve">are </w:t>
      </w:r>
      <w:r w:rsidR="00FC6FD8">
        <w:t>showi</w:t>
      </w:r>
      <w:r w:rsidR="005214E2">
        <w:t>ng</w:t>
      </w:r>
      <w:r w:rsidR="00BF493B">
        <w:t xml:space="preserve"> some growth, </w:t>
      </w:r>
      <w:r w:rsidR="00E73E44">
        <w:t>albeit steady</w:t>
      </w:r>
      <w:r w:rsidR="00BC1524">
        <w:t xml:space="preserve">. Values are now </w:t>
      </w:r>
      <w:r w:rsidR="00E73E44">
        <w:t>2.7</w:t>
      </w:r>
      <w:r w:rsidR="0093688D" w:rsidRPr="00050256">
        <w:t>%</w:t>
      </w:r>
      <w:r w:rsidR="00050256">
        <w:t xml:space="preserve"> above this time last year</w:t>
      </w:r>
      <w:r w:rsidR="005A1830">
        <w:t xml:space="preserve"> with a 0.8%</w:t>
      </w:r>
      <w:r w:rsidR="00BF493B">
        <w:t xml:space="preserve"> growth in the last 3 months</w:t>
      </w:r>
      <w:r w:rsidR="00050256">
        <w:t>.</w:t>
      </w:r>
      <w:r w:rsidR="00E73E44">
        <w:t xml:space="preserve">  Within Wellington, Wellington City, Hutt City and Upper Hutt all have around a 2% increase on last </w:t>
      </w:r>
      <w:proofErr w:type="gramStart"/>
      <w:r w:rsidR="00E73E44">
        <w:t>year,</w:t>
      </w:r>
      <w:proofErr w:type="gramEnd"/>
      <w:r w:rsidR="00E73E44">
        <w:t xml:space="preserve"> however, Porirua has seen the biggest increase, now up 4.2</w:t>
      </w:r>
      <w:r w:rsidR="005A1830">
        <w:t>%</w:t>
      </w:r>
      <w:r w:rsidR="004024A6">
        <w:t>.</w:t>
      </w:r>
    </w:p>
    <w:p w:rsidR="004024A6" w:rsidRDefault="004024A6" w:rsidP="003B26B2">
      <w:pPr>
        <w:pStyle w:val="NoSpacing"/>
      </w:pPr>
    </w:p>
    <w:p w:rsidR="00D82313" w:rsidRDefault="009226A6" w:rsidP="004024A6">
      <w:pPr>
        <w:pStyle w:val="NoSpacing"/>
        <w:rPr>
          <w:rFonts w:cstheme="minorHAnsi"/>
        </w:rPr>
      </w:pPr>
      <w:r w:rsidRPr="004024A6">
        <w:rPr>
          <w:rFonts w:cstheme="minorHAnsi"/>
        </w:rPr>
        <w:t xml:space="preserve">QV </w:t>
      </w:r>
      <w:proofErr w:type="spellStart"/>
      <w:r w:rsidRPr="004024A6">
        <w:rPr>
          <w:rFonts w:cstheme="minorHAnsi"/>
        </w:rPr>
        <w:t>Valuer</w:t>
      </w:r>
      <w:proofErr w:type="spellEnd"/>
      <w:r w:rsidRPr="004024A6">
        <w:rPr>
          <w:rFonts w:cstheme="minorHAnsi"/>
        </w:rPr>
        <w:t xml:space="preserve"> </w:t>
      </w:r>
      <w:r w:rsidR="00560ADE" w:rsidRPr="000834A2">
        <w:t xml:space="preserve">Pieter </w:t>
      </w:r>
      <w:proofErr w:type="spellStart"/>
      <w:r w:rsidR="00560ADE" w:rsidRPr="000834A2">
        <w:t>Geill</w:t>
      </w:r>
      <w:proofErr w:type="spellEnd"/>
      <w:r w:rsidR="00560ADE" w:rsidRPr="000834A2">
        <w:t xml:space="preserve"> </w:t>
      </w:r>
      <w:r w:rsidRPr="004024A6">
        <w:rPr>
          <w:rFonts w:cstheme="minorHAnsi"/>
        </w:rPr>
        <w:t>said</w:t>
      </w:r>
      <w:r w:rsidR="004024A6" w:rsidRPr="004024A6">
        <w:rPr>
          <w:rFonts w:cstheme="minorHAnsi"/>
        </w:rPr>
        <w:t xml:space="preserve"> “</w:t>
      </w:r>
      <w:r w:rsidR="00D82313">
        <w:rPr>
          <w:rFonts w:cstheme="minorHAnsi"/>
        </w:rPr>
        <w:t xml:space="preserve">There is increased demand from buyers in the Hutt Valley for properties up to $400,000, as well as buyers looking around the $400,000-$600,000 mark.   </w:t>
      </w:r>
      <w:r w:rsidR="00D257E4">
        <w:rPr>
          <w:rFonts w:cstheme="minorHAnsi"/>
        </w:rPr>
        <w:t xml:space="preserve">Property investors are also still active, with many purchasing </w:t>
      </w:r>
      <w:r w:rsidR="00B7778C">
        <w:rPr>
          <w:rFonts w:cstheme="minorHAnsi"/>
        </w:rPr>
        <w:t>low value</w:t>
      </w:r>
      <w:r w:rsidR="00D257E4">
        <w:rPr>
          <w:rFonts w:cstheme="minorHAnsi"/>
        </w:rPr>
        <w:t xml:space="preserve"> homes before making a modest profit after </w:t>
      </w:r>
      <w:r w:rsidR="00B7778C">
        <w:rPr>
          <w:rFonts w:cstheme="minorHAnsi"/>
        </w:rPr>
        <w:t xml:space="preserve">making </w:t>
      </w:r>
      <w:r w:rsidR="00D257E4">
        <w:rPr>
          <w:rFonts w:cstheme="minorHAnsi"/>
        </w:rPr>
        <w:t>only small to medium sized renovations.  They are also interested in blocks of flats.”</w:t>
      </w:r>
    </w:p>
    <w:p w:rsidR="004024A6" w:rsidRDefault="004024A6" w:rsidP="004024A6">
      <w:pPr>
        <w:pStyle w:val="NoSpacing"/>
        <w:rPr>
          <w:rFonts w:cstheme="minorHAnsi"/>
          <w:highlight w:val="yellow"/>
        </w:rPr>
      </w:pPr>
    </w:p>
    <w:p w:rsidR="00A83774" w:rsidRPr="00A83774" w:rsidRDefault="00A83774" w:rsidP="003B26B2">
      <w:pPr>
        <w:pStyle w:val="NoSpacing"/>
        <w:rPr>
          <w:rFonts w:cstheme="minorHAnsi"/>
          <w:b/>
        </w:rPr>
      </w:pPr>
      <w:r>
        <w:rPr>
          <w:rFonts w:cstheme="minorHAnsi"/>
          <w:b/>
        </w:rPr>
        <w:t>Christchurch and Dunedin</w:t>
      </w:r>
    </w:p>
    <w:p w:rsidR="00050256" w:rsidRDefault="0093688D" w:rsidP="003B26B2">
      <w:pPr>
        <w:pStyle w:val="NoSpacing"/>
      </w:pPr>
      <w:r w:rsidRPr="00050256">
        <w:t xml:space="preserve">Christchurch </w:t>
      </w:r>
      <w:r w:rsidR="00050256">
        <w:t xml:space="preserve">values </w:t>
      </w:r>
      <w:r w:rsidR="00730A84">
        <w:t xml:space="preserve">have </w:t>
      </w:r>
      <w:r w:rsidR="00F344BB">
        <w:t>increase</w:t>
      </w:r>
      <w:r w:rsidR="00730A84">
        <w:t>d this month</w:t>
      </w:r>
      <w:r w:rsidR="00F344BB">
        <w:t xml:space="preserve">, now </w:t>
      </w:r>
      <w:r w:rsidR="00730A84">
        <w:t>10</w:t>
      </w:r>
      <w:r w:rsidRPr="00050256">
        <w:t>%</w:t>
      </w:r>
      <w:r w:rsidR="00050256">
        <w:t xml:space="preserve"> </w:t>
      </w:r>
      <w:r w:rsidR="00F344BB">
        <w:t>above last year</w:t>
      </w:r>
      <w:r w:rsidR="009226A6">
        <w:t>.</w:t>
      </w:r>
      <w:r w:rsidR="00050256">
        <w:t xml:space="preserve"> The outlying areas such as Waimakariri and Selwyn </w:t>
      </w:r>
      <w:r w:rsidR="00730A84">
        <w:t xml:space="preserve">have also </w:t>
      </w:r>
      <w:r w:rsidR="00050256">
        <w:t>continue</w:t>
      </w:r>
      <w:r w:rsidR="00730A84">
        <w:t>d</w:t>
      </w:r>
      <w:r w:rsidR="00050256">
        <w:t xml:space="preserve"> </w:t>
      </w:r>
      <w:r w:rsidR="00730A84">
        <w:t>t</w:t>
      </w:r>
      <w:r w:rsidR="00F344BB">
        <w:t xml:space="preserve">o </w:t>
      </w:r>
      <w:r w:rsidR="00730A84">
        <w:t xml:space="preserve">grow despite </w:t>
      </w:r>
      <w:r w:rsidR="00F344BB">
        <w:t>slowing growth rates</w:t>
      </w:r>
      <w:r w:rsidR="00730A84">
        <w:t xml:space="preserve"> in the past few months.  Both Waimakariri and Selwyn have seen 2.9% increases over the past three months.</w:t>
      </w:r>
    </w:p>
    <w:p w:rsidR="00730A84" w:rsidRDefault="00730A84" w:rsidP="003B26B2">
      <w:pPr>
        <w:pStyle w:val="NoSpacing"/>
      </w:pPr>
    </w:p>
    <w:p w:rsidR="00E4544C" w:rsidRDefault="00050256" w:rsidP="003B26B2">
      <w:pPr>
        <w:pStyle w:val="NoSpacing"/>
      </w:pPr>
      <w:r>
        <w:t>QV Valuer Daryl Taggart said “</w:t>
      </w:r>
      <w:r w:rsidR="00777C50">
        <w:t xml:space="preserve">The market continues to go </w:t>
      </w:r>
      <w:r w:rsidR="00981262">
        <w:t>from</w:t>
      </w:r>
      <w:r w:rsidR="00777C50">
        <w:t xml:space="preserve"> strength to strength.  We have seen some good interest in the middle to upper end of the market where buyers looking to upgrade to their second or third homes are spending $500,000 plus</w:t>
      </w:r>
      <w:r w:rsidR="00E4544C">
        <w:t>.</w:t>
      </w:r>
      <w:r w:rsidR="00777C50">
        <w:t xml:space="preserve">  There is also a noticeable increase in popularity with modern homes in subdivisions built within the last 10 years or so.</w:t>
      </w:r>
      <w:r w:rsidR="00E4544C">
        <w:t>”</w:t>
      </w:r>
    </w:p>
    <w:p w:rsidR="00E4544C" w:rsidRDefault="00E4544C" w:rsidP="003B26B2">
      <w:pPr>
        <w:pStyle w:val="NoSpacing"/>
      </w:pPr>
    </w:p>
    <w:p w:rsidR="00E4544C" w:rsidRDefault="0093688D" w:rsidP="003B26B2">
      <w:pPr>
        <w:pStyle w:val="NoSpacing"/>
      </w:pPr>
      <w:r w:rsidRPr="00050256">
        <w:t xml:space="preserve">Dunedin </w:t>
      </w:r>
      <w:r w:rsidR="00FF73C7">
        <w:t xml:space="preserve">has slowed slightly, with only a 0.2% increase over the past three months.  Values still sit 4.2% above last year. </w:t>
      </w:r>
    </w:p>
    <w:p w:rsidR="00FF73C7" w:rsidRDefault="00FF73C7" w:rsidP="003B26B2">
      <w:pPr>
        <w:pStyle w:val="NoSpacing"/>
      </w:pPr>
    </w:p>
    <w:p w:rsidR="00E4544C" w:rsidRPr="00717A4B" w:rsidRDefault="00E4544C" w:rsidP="003B26B2">
      <w:pPr>
        <w:pStyle w:val="NoSpacing"/>
        <w:rPr>
          <w:highlight w:val="yellow"/>
        </w:rPr>
      </w:pPr>
      <w:r>
        <w:t>QV Valuer Tim Gibson said “</w:t>
      </w:r>
      <w:r w:rsidR="00930936">
        <w:t>Unlike last month, we are starting to see the affect of the normal winter slowdown starting to take place.  Whereas the beginning of the month was a good one, especially for the lower end of the market, the latter half has seen a noticeable drop off in demand</w:t>
      </w:r>
      <w:r>
        <w:t>.”</w:t>
      </w:r>
    </w:p>
    <w:p w:rsidR="006450E7" w:rsidRPr="00717A4B" w:rsidRDefault="006450E7" w:rsidP="003B26B2">
      <w:pPr>
        <w:pStyle w:val="NoSpacing"/>
        <w:rPr>
          <w:highlight w:val="yellow"/>
        </w:rPr>
      </w:pPr>
    </w:p>
    <w:p w:rsidR="00566A54" w:rsidRPr="00DB672A" w:rsidRDefault="00566A54" w:rsidP="007537D5">
      <w:pPr>
        <w:spacing w:after="0" w:line="240" w:lineRule="auto"/>
        <w:rPr>
          <w:b/>
        </w:rPr>
      </w:pPr>
      <w:r w:rsidRPr="00DB672A">
        <w:rPr>
          <w:b/>
        </w:rPr>
        <w:t>Provincial centres</w:t>
      </w:r>
    </w:p>
    <w:p w:rsidR="009A7636" w:rsidRDefault="00A751FC" w:rsidP="003B0F17">
      <w:pPr>
        <w:spacing w:after="0" w:line="240" w:lineRule="auto"/>
      </w:pPr>
      <w:r w:rsidRPr="007F7859">
        <w:t>T</w:t>
      </w:r>
      <w:r w:rsidR="00776015" w:rsidRPr="007F7859">
        <w:t xml:space="preserve">he provincial centres </w:t>
      </w:r>
      <w:r w:rsidR="00981262">
        <w:t>generally remain stead</w:t>
      </w:r>
      <w:r w:rsidR="006B6350" w:rsidRPr="007F7859">
        <w:t>y</w:t>
      </w:r>
      <w:r w:rsidR="003B0F17" w:rsidRPr="007F7859">
        <w:t>.</w:t>
      </w:r>
      <w:r w:rsidR="006B6350" w:rsidRPr="007F7859">
        <w:t xml:space="preserve">  It is mainly areas in the middle of the North Island, such as </w:t>
      </w:r>
      <w:proofErr w:type="spellStart"/>
      <w:r w:rsidR="006B6350" w:rsidRPr="007F7859">
        <w:t>Taupo</w:t>
      </w:r>
      <w:proofErr w:type="spellEnd"/>
      <w:r w:rsidR="006B6350" w:rsidRPr="007F7859">
        <w:t xml:space="preserve">, that </w:t>
      </w:r>
      <w:r w:rsidR="007F7859" w:rsidRPr="007F7859">
        <w:t>saw</w:t>
      </w:r>
      <w:r w:rsidR="006B6350" w:rsidRPr="007F7859">
        <w:t xml:space="preserve"> decreases in values over the past three months.</w:t>
      </w:r>
      <w:r w:rsidR="007F7859">
        <w:t xml:space="preserve">  </w:t>
      </w:r>
      <w:r w:rsidR="003B0F17" w:rsidRPr="007F7859">
        <w:t xml:space="preserve">Areas such as Hawke’s Bay and </w:t>
      </w:r>
      <w:proofErr w:type="spellStart"/>
      <w:r w:rsidR="003B0F17" w:rsidRPr="007F7859">
        <w:t>Wairarapa</w:t>
      </w:r>
      <w:proofErr w:type="spellEnd"/>
      <w:r w:rsidR="003B0F17" w:rsidRPr="007F7859">
        <w:t xml:space="preserve"> are </w:t>
      </w:r>
      <w:r w:rsidR="007F7859" w:rsidRPr="007F7859">
        <w:t>seeing most activity in the lower end of the market with buyers cautious and sellers realistic on regard to price expectations.</w:t>
      </w:r>
      <w:r w:rsidR="007F7859">
        <w:t xml:space="preserve">  </w:t>
      </w:r>
      <w:proofErr w:type="spellStart"/>
      <w:r w:rsidR="003B0F17" w:rsidRPr="007F7859">
        <w:t>Whangerei</w:t>
      </w:r>
      <w:proofErr w:type="spellEnd"/>
      <w:r w:rsidR="00981262">
        <w:t xml:space="preserve"> and </w:t>
      </w:r>
      <w:proofErr w:type="spellStart"/>
      <w:r w:rsidR="00981262">
        <w:t>Gisborne</w:t>
      </w:r>
      <w:proofErr w:type="spellEnd"/>
      <w:r w:rsidR="003B0F17" w:rsidRPr="007F7859">
        <w:t>, which ha</w:t>
      </w:r>
      <w:r w:rsidR="00981262">
        <w:t>ve previously been declining, have</w:t>
      </w:r>
      <w:r w:rsidR="003B0F17" w:rsidRPr="007F7859">
        <w:t xml:space="preserve"> </w:t>
      </w:r>
      <w:r w:rsidR="007F7859" w:rsidRPr="007F7859">
        <w:t>continued to grow</w:t>
      </w:r>
      <w:r w:rsidR="00981262">
        <w:t xml:space="preserve"> in recent months</w:t>
      </w:r>
      <w:r w:rsidR="003B0F17" w:rsidRPr="007F7859">
        <w:t>.</w:t>
      </w:r>
    </w:p>
    <w:p w:rsidR="000B7CD2" w:rsidRDefault="000B7CD2" w:rsidP="00C82F35">
      <w:pPr>
        <w:spacing w:after="0" w:line="240" w:lineRule="auto"/>
        <w:jc w:val="both"/>
        <w:rPr>
          <w:b/>
          <w:bCs/>
          <w:lang w:val="en-GB"/>
        </w:rPr>
      </w:pPr>
    </w:p>
    <w:p w:rsidR="00442230" w:rsidRDefault="00442230" w:rsidP="00C82F35">
      <w:pPr>
        <w:spacing w:after="0" w:line="240" w:lineRule="auto"/>
        <w:jc w:val="both"/>
        <w:rPr>
          <w:b/>
          <w:bCs/>
          <w:lang w:val="en-GB"/>
        </w:rPr>
      </w:pPr>
      <w:r w:rsidRPr="00F53C93">
        <w:rPr>
          <w:b/>
          <w:bCs/>
          <w:lang w:val="en-GB"/>
        </w:rPr>
        <w:t xml:space="preserve">For </w:t>
      </w:r>
      <w:r w:rsidR="0056099F">
        <w:rPr>
          <w:b/>
          <w:bCs/>
          <w:lang w:val="en-GB"/>
        </w:rPr>
        <w:t>media enquiries and interview</w:t>
      </w:r>
      <w:r w:rsidR="00F57C27">
        <w:rPr>
          <w:b/>
          <w:bCs/>
          <w:lang w:val="en-GB"/>
        </w:rPr>
        <w:t>s</w:t>
      </w:r>
      <w:r w:rsidR="0056099F">
        <w:rPr>
          <w:b/>
          <w:bCs/>
          <w:lang w:val="en-GB"/>
        </w:rPr>
        <w:t xml:space="preserve">, and for </w:t>
      </w:r>
      <w:r w:rsidRPr="00F53C93">
        <w:rPr>
          <w:b/>
          <w:bCs/>
          <w:lang w:val="en-GB"/>
        </w:rPr>
        <w:t>further information contact:</w:t>
      </w:r>
    </w:p>
    <w:p w:rsidR="00560ADE" w:rsidRDefault="00560ADE" w:rsidP="00560ADE">
      <w:pPr>
        <w:spacing w:after="0" w:line="240" w:lineRule="auto"/>
        <w:jc w:val="both"/>
        <w:rPr>
          <w:lang w:val="en-GB"/>
        </w:rPr>
      </w:pPr>
      <w:proofErr w:type="spellStart"/>
      <w:r>
        <w:rPr>
          <w:lang w:val="en-GB"/>
        </w:rPr>
        <w:t>Jonno</w:t>
      </w:r>
      <w:proofErr w:type="spellEnd"/>
      <w:r>
        <w:rPr>
          <w:lang w:val="en-GB"/>
        </w:rPr>
        <w:t xml:space="preserve"> </w:t>
      </w:r>
      <w:proofErr w:type="spellStart"/>
      <w:r>
        <w:rPr>
          <w:lang w:val="en-GB"/>
        </w:rPr>
        <w:t>Ingerson</w:t>
      </w:r>
      <w:proofErr w:type="spellEnd"/>
    </w:p>
    <w:p w:rsidR="00560ADE" w:rsidRPr="00F53C93" w:rsidRDefault="00560ADE" w:rsidP="00560ADE">
      <w:pPr>
        <w:spacing w:after="0" w:line="240" w:lineRule="auto"/>
        <w:jc w:val="both"/>
        <w:rPr>
          <w:b/>
          <w:bCs/>
          <w:lang w:val="en-GB"/>
        </w:rPr>
      </w:pPr>
      <w:r>
        <w:rPr>
          <w:lang w:val="en-GB"/>
        </w:rPr>
        <w:t>Research Director QV.co.nz</w:t>
      </w:r>
    </w:p>
    <w:p w:rsidR="00560ADE" w:rsidRPr="004D57C7" w:rsidRDefault="00560ADE" w:rsidP="00560ADE">
      <w:pPr>
        <w:tabs>
          <w:tab w:val="left" w:pos="4820"/>
        </w:tabs>
        <w:spacing w:after="0" w:line="240" w:lineRule="auto"/>
        <w:rPr>
          <w:b/>
        </w:rPr>
      </w:pPr>
      <w:r>
        <w:rPr>
          <w:lang w:val="en-GB"/>
        </w:rPr>
        <w:t>Tel: 04 802 1239</w:t>
      </w:r>
      <w:r>
        <w:tab/>
      </w:r>
    </w:p>
    <w:p w:rsidR="00560ADE" w:rsidRDefault="00560ADE" w:rsidP="00560ADE">
      <w:pPr>
        <w:tabs>
          <w:tab w:val="left" w:pos="4962"/>
        </w:tabs>
        <w:spacing w:after="0" w:line="240" w:lineRule="auto"/>
      </w:pPr>
      <w:r>
        <w:rPr>
          <w:lang w:val="en-GB"/>
        </w:rPr>
        <w:t>Mobile: 027 454 6642</w:t>
      </w:r>
      <w:r>
        <w:tab/>
      </w:r>
    </w:p>
    <w:p w:rsidR="007537D5" w:rsidRDefault="00560ADE" w:rsidP="00560ADE">
      <w:pPr>
        <w:tabs>
          <w:tab w:val="left" w:pos="4962"/>
        </w:tabs>
        <w:spacing w:after="0" w:line="240" w:lineRule="auto"/>
      </w:pPr>
      <w:r>
        <w:rPr>
          <w:lang w:val="en-GB"/>
        </w:rPr>
        <w:t xml:space="preserve">Email: </w:t>
      </w:r>
      <w:hyperlink r:id="rId7" w:history="1">
        <w:r w:rsidRPr="00C53BBF">
          <w:rPr>
            <w:rStyle w:val="Hyperlink"/>
            <w:lang w:val="en-GB"/>
          </w:rPr>
          <w:t>jonno.ingerson@propertyiq.co.nz</w:t>
        </w:r>
      </w:hyperlink>
      <w:r w:rsidR="007537D5">
        <w:tab/>
      </w:r>
    </w:p>
    <w:p w:rsidR="00620BAD" w:rsidRDefault="00620BAD" w:rsidP="007537D5">
      <w:pPr>
        <w:tabs>
          <w:tab w:val="left" w:pos="4962"/>
        </w:tabs>
        <w:spacing w:after="0" w:line="240" w:lineRule="auto"/>
        <w:rPr>
          <w:b/>
        </w:rPr>
      </w:pPr>
    </w:p>
    <w:p w:rsidR="00560ADE" w:rsidRDefault="00560ADE" w:rsidP="007537D5">
      <w:pPr>
        <w:tabs>
          <w:tab w:val="left" w:pos="4962"/>
        </w:tabs>
        <w:spacing w:after="0" w:line="240" w:lineRule="auto"/>
        <w:rPr>
          <w:b/>
        </w:rPr>
      </w:pPr>
    </w:p>
    <w:p w:rsidR="007537D5" w:rsidRDefault="004D57C7" w:rsidP="007537D5">
      <w:pPr>
        <w:tabs>
          <w:tab w:val="left" w:pos="4962"/>
        </w:tabs>
        <w:spacing w:after="0" w:line="240" w:lineRule="auto"/>
      </w:pPr>
      <w:r w:rsidRPr="004D57C7">
        <w:rPr>
          <w:b/>
        </w:rPr>
        <w:t>For further specific comment on local areas:</w:t>
      </w:r>
      <w:r w:rsidR="007537D5">
        <w:tab/>
      </w:r>
    </w:p>
    <w:p w:rsidR="007537D5" w:rsidRDefault="004D57C7" w:rsidP="007537D5">
      <w:pPr>
        <w:tabs>
          <w:tab w:val="left" w:pos="4962"/>
        </w:tabs>
        <w:spacing w:after="0" w:line="240" w:lineRule="auto"/>
      </w:pPr>
      <w:r>
        <w:t xml:space="preserve">Auckland. </w:t>
      </w:r>
      <w:r w:rsidR="00BC211A">
        <w:t xml:space="preserve">Kerry </w:t>
      </w:r>
      <w:r w:rsidR="00BC211A" w:rsidRPr="006777FE">
        <w:t>Stewart</w:t>
      </w:r>
      <w:r w:rsidR="006104B0" w:rsidRPr="006777FE">
        <w:t xml:space="preserve"> </w:t>
      </w:r>
      <w:r w:rsidRPr="006777FE">
        <w:t>02</w:t>
      </w:r>
      <w:r w:rsidR="004A51A4" w:rsidRPr="006777FE">
        <w:t>1</w:t>
      </w:r>
      <w:r w:rsidRPr="006777FE">
        <w:t xml:space="preserve"> </w:t>
      </w:r>
      <w:r w:rsidR="004A51A4" w:rsidRPr="006777FE">
        <w:t>387 106</w:t>
      </w:r>
    </w:p>
    <w:p w:rsidR="00885646" w:rsidRDefault="004D57C7" w:rsidP="007537D5">
      <w:pPr>
        <w:tabs>
          <w:tab w:val="left" w:pos="4962"/>
        </w:tabs>
        <w:spacing w:after="0" w:line="240" w:lineRule="auto"/>
      </w:pPr>
      <w:r>
        <w:t xml:space="preserve">Hamilton. </w:t>
      </w:r>
      <w:r w:rsidR="00296D07">
        <w:rPr>
          <w:rFonts w:asciiTheme="minorHAnsi" w:hAnsiTheme="minorHAnsi"/>
        </w:rPr>
        <w:t>Richard Allen</w:t>
      </w:r>
      <w:r w:rsidRPr="00E81447">
        <w:rPr>
          <w:rFonts w:asciiTheme="minorHAnsi" w:hAnsiTheme="minorHAnsi" w:cs="Arial"/>
        </w:rPr>
        <w:t xml:space="preserve"> </w:t>
      </w:r>
      <w:r w:rsidR="00E81447" w:rsidRPr="00E81447">
        <w:rPr>
          <w:rFonts w:asciiTheme="minorHAnsi" w:hAnsiTheme="minorHAnsi" w:cs="Arial"/>
          <w:color w:val="222222"/>
          <w:shd w:val="clear" w:color="auto" w:fill="FFFFFF"/>
        </w:rPr>
        <w:t xml:space="preserve">027 </w:t>
      </w:r>
      <w:r w:rsidR="00296D07">
        <w:rPr>
          <w:rFonts w:asciiTheme="minorHAnsi" w:hAnsiTheme="minorHAnsi" w:cs="Arial"/>
          <w:color w:val="222222"/>
          <w:shd w:val="clear" w:color="auto" w:fill="FFFFFF"/>
        </w:rPr>
        <w:t>230</w:t>
      </w:r>
      <w:r w:rsidR="00E81447" w:rsidRPr="00E81447">
        <w:rPr>
          <w:rFonts w:asciiTheme="minorHAnsi" w:hAnsiTheme="minorHAnsi" w:cs="Arial"/>
          <w:color w:val="222222"/>
          <w:shd w:val="clear" w:color="auto" w:fill="FFFFFF"/>
        </w:rPr>
        <w:t xml:space="preserve"> </w:t>
      </w:r>
      <w:r w:rsidR="00296D07">
        <w:rPr>
          <w:rFonts w:asciiTheme="minorHAnsi" w:hAnsiTheme="minorHAnsi" w:cs="Arial"/>
          <w:color w:val="222222"/>
          <w:shd w:val="clear" w:color="auto" w:fill="FFFFFF"/>
        </w:rPr>
        <w:t>7290</w:t>
      </w:r>
      <w:r w:rsidR="007537D5">
        <w:tab/>
      </w:r>
    </w:p>
    <w:p w:rsidR="00885646" w:rsidRPr="004024A6" w:rsidRDefault="004D57C7" w:rsidP="007537D5">
      <w:pPr>
        <w:tabs>
          <w:tab w:val="left" w:pos="4820"/>
        </w:tabs>
        <w:spacing w:after="0" w:line="240" w:lineRule="auto"/>
      </w:pPr>
      <w:proofErr w:type="gramStart"/>
      <w:r w:rsidRPr="004024A6">
        <w:t>Tauranga.</w:t>
      </w:r>
      <w:proofErr w:type="gramEnd"/>
      <w:r w:rsidRPr="004024A6">
        <w:t xml:space="preserve"> Paul Thomas 027 544 4602</w:t>
      </w:r>
    </w:p>
    <w:p w:rsidR="00560ADE" w:rsidRDefault="00560ADE" w:rsidP="00560ADE">
      <w:pPr>
        <w:spacing w:after="0" w:line="240" w:lineRule="auto"/>
      </w:pPr>
      <w:r>
        <w:t xml:space="preserve">Wellington. </w:t>
      </w:r>
      <w:r w:rsidRPr="000834A2">
        <w:t>Pieter Geill 027 230 7291</w:t>
      </w:r>
    </w:p>
    <w:p w:rsidR="004D57C7" w:rsidRDefault="004D57C7" w:rsidP="00C82F35">
      <w:pPr>
        <w:spacing w:after="0" w:line="240" w:lineRule="auto"/>
      </w:pPr>
      <w:r>
        <w:t xml:space="preserve">Christchurch. </w:t>
      </w:r>
      <w:r w:rsidR="00620BAD">
        <w:t>Daryl Taggart</w:t>
      </w:r>
      <w:r>
        <w:t xml:space="preserve"> 02</w:t>
      </w:r>
      <w:r w:rsidR="00620BAD">
        <w:t>7 304 9815</w:t>
      </w:r>
    </w:p>
    <w:p w:rsidR="001A5C76" w:rsidRDefault="004D57C7" w:rsidP="000C1445">
      <w:pPr>
        <w:spacing w:after="0" w:line="240" w:lineRule="auto"/>
      </w:pPr>
      <w:r>
        <w:t>Dunedin. Tim Gibson 021 151 2887</w:t>
      </w:r>
    </w:p>
    <w:p w:rsidR="00BA2AB7" w:rsidRDefault="00BA2AB7">
      <w:pPr>
        <w:spacing w:after="0" w:line="240" w:lineRule="auto"/>
      </w:pPr>
      <w:r>
        <w:br w:type="page"/>
      </w:r>
    </w:p>
    <w:p w:rsidR="00DB0C2F" w:rsidRDefault="00DB0C2F" w:rsidP="00DB0C2F">
      <w:pPr>
        <w:spacing w:after="0" w:line="240" w:lineRule="auto"/>
        <w:jc w:val="both"/>
      </w:pPr>
      <w:r>
        <w:rPr>
          <w:noProof/>
          <w:lang w:val="en-US"/>
        </w:rPr>
        <w:lastRenderedPageBreak/>
        <w:drawing>
          <wp:anchor distT="0" distB="0" distL="114300" distR="114300" simplePos="0" relativeHeight="251665408" behindDoc="0" locked="0" layoutInCell="1" allowOverlap="1">
            <wp:simplePos x="0" y="0"/>
            <wp:positionH relativeFrom="column">
              <wp:posOffset>2886075</wp:posOffset>
            </wp:positionH>
            <wp:positionV relativeFrom="paragraph">
              <wp:posOffset>-323850</wp:posOffset>
            </wp:positionV>
            <wp:extent cx="2834005" cy="2419350"/>
            <wp:effectExtent l="19050" t="0" r="4445" b="0"/>
            <wp:wrapThrough wrapText="bothSides">
              <wp:wrapPolygon edited="0">
                <wp:start x="-145" y="0"/>
                <wp:lineTo x="-145" y="21430"/>
                <wp:lineTo x="21634" y="21430"/>
                <wp:lineTo x="21634" y="0"/>
                <wp:lineTo x="-145" y="0"/>
              </wp:wrapPolygon>
            </wp:wrapThrough>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834005" cy="2419350"/>
                    </a:xfrm>
                    <a:prstGeom prst="rect">
                      <a:avLst/>
                    </a:prstGeom>
                    <a:noFill/>
                  </pic:spPr>
                </pic:pic>
              </a:graphicData>
            </a:graphic>
          </wp:anchor>
        </w:drawing>
      </w:r>
      <w:r>
        <w:rPr>
          <w:noProof/>
          <w:lang w:val="en-US"/>
        </w:rPr>
        <w:drawing>
          <wp:anchor distT="0" distB="0" distL="114300" distR="114300" simplePos="0" relativeHeight="251666432" behindDoc="0" locked="0" layoutInCell="1" allowOverlap="1">
            <wp:simplePos x="0" y="0"/>
            <wp:positionH relativeFrom="column">
              <wp:posOffset>-152400</wp:posOffset>
            </wp:positionH>
            <wp:positionV relativeFrom="paragraph">
              <wp:posOffset>2167255</wp:posOffset>
            </wp:positionV>
            <wp:extent cx="2828925" cy="2428875"/>
            <wp:effectExtent l="19050" t="0" r="9525" b="0"/>
            <wp:wrapThrough wrapText="bothSides">
              <wp:wrapPolygon edited="0">
                <wp:start x="-145" y="0"/>
                <wp:lineTo x="-145" y="21515"/>
                <wp:lineTo x="21673" y="21515"/>
                <wp:lineTo x="21673" y="0"/>
                <wp:lineTo x="-145" y="0"/>
              </wp:wrapPolygon>
            </wp:wrapThrough>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828925" cy="2428875"/>
                    </a:xfrm>
                    <a:prstGeom prst="rect">
                      <a:avLst/>
                    </a:prstGeom>
                    <a:noFill/>
                  </pic:spPr>
                </pic:pic>
              </a:graphicData>
            </a:graphic>
          </wp:anchor>
        </w:drawing>
      </w:r>
      <w:r>
        <w:rPr>
          <w:noProof/>
          <w:lang w:val="en-US"/>
        </w:rPr>
        <w:drawing>
          <wp:anchor distT="0" distB="0" distL="114300" distR="114300" simplePos="0" relativeHeight="251668480" behindDoc="0" locked="0" layoutInCell="1" allowOverlap="1">
            <wp:simplePos x="0" y="0"/>
            <wp:positionH relativeFrom="column">
              <wp:posOffset>-152400</wp:posOffset>
            </wp:positionH>
            <wp:positionV relativeFrom="paragraph">
              <wp:posOffset>4695825</wp:posOffset>
            </wp:positionV>
            <wp:extent cx="2828925" cy="2428875"/>
            <wp:effectExtent l="19050" t="0" r="9525" b="0"/>
            <wp:wrapThrough wrapText="bothSides">
              <wp:wrapPolygon edited="0">
                <wp:start x="-145" y="0"/>
                <wp:lineTo x="-145" y="21515"/>
                <wp:lineTo x="21673" y="21515"/>
                <wp:lineTo x="21673" y="0"/>
                <wp:lineTo x="-145" y="0"/>
              </wp:wrapPolygon>
            </wp:wrapThrough>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2828925" cy="2428875"/>
                    </a:xfrm>
                    <a:prstGeom prst="rect">
                      <a:avLst/>
                    </a:prstGeom>
                    <a:noFill/>
                  </pic:spPr>
                </pic:pic>
              </a:graphicData>
            </a:graphic>
          </wp:anchor>
        </w:drawing>
      </w:r>
      <w:r>
        <w:rPr>
          <w:noProof/>
          <w:lang w:val="en-US"/>
        </w:rPr>
        <w:drawing>
          <wp:anchor distT="0" distB="0" distL="114300" distR="114300" simplePos="0" relativeHeight="251669504" behindDoc="0" locked="0" layoutInCell="1" allowOverlap="1">
            <wp:simplePos x="0" y="0"/>
            <wp:positionH relativeFrom="column">
              <wp:posOffset>2886075</wp:posOffset>
            </wp:positionH>
            <wp:positionV relativeFrom="paragraph">
              <wp:posOffset>4695825</wp:posOffset>
            </wp:positionV>
            <wp:extent cx="2834005" cy="2428875"/>
            <wp:effectExtent l="19050" t="0" r="4445" b="0"/>
            <wp:wrapThrough wrapText="bothSides">
              <wp:wrapPolygon edited="0">
                <wp:start x="-145" y="0"/>
                <wp:lineTo x="-145" y="21515"/>
                <wp:lineTo x="21634" y="21515"/>
                <wp:lineTo x="21634" y="0"/>
                <wp:lineTo x="-145" y="0"/>
              </wp:wrapPolygon>
            </wp:wrapThrough>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2834005" cy="2428875"/>
                    </a:xfrm>
                    <a:prstGeom prst="rect">
                      <a:avLst/>
                    </a:prstGeom>
                    <a:noFill/>
                  </pic:spPr>
                </pic:pic>
              </a:graphicData>
            </a:graphic>
          </wp:anchor>
        </w:drawing>
      </w:r>
      <w:r>
        <w:rPr>
          <w:noProof/>
          <w:lang w:val="en-US"/>
        </w:rPr>
        <w:drawing>
          <wp:anchor distT="0" distB="0" distL="114300" distR="114300" simplePos="0" relativeHeight="251667456" behindDoc="0" locked="0" layoutInCell="1" allowOverlap="1">
            <wp:simplePos x="0" y="0"/>
            <wp:positionH relativeFrom="column">
              <wp:posOffset>2886075</wp:posOffset>
            </wp:positionH>
            <wp:positionV relativeFrom="paragraph">
              <wp:posOffset>2171700</wp:posOffset>
            </wp:positionV>
            <wp:extent cx="2834005" cy="2419350"/>
            <wp:effectExtent l="19050" t="0" r="4445" b="0"/>
            <wp:wrapThrough wrapText="bothSides">
              <wp:wrapPolygon edited="0">
                <wp:start x="-145" y="0"/>
                <wp:lineTo x="-145" y="21430"/>
                <wp:lineTo x="21634" y="21430"/>
                <wp:lineTo x="21634" y="0"/>
                <wp:lineTo x="-145" y="0"/>
              </wp:wrapPolygon>
            </wp:wrapThrough>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2834005" cy="2419350"/>
                    </a:xfrm>
                    <a:prstGeom prst="rect">
                      <a:avLst/>
                    </a:prstGeom>
                    <a:noFill/>
                  </pic:spPr>
                </pic:pic>
              </a:graphicData>
            </a:graphic>
          </wp:anchor>
        </w:drawing>
      </w:r>
      <w:r>
        <w:rPr>
          <w:noProof/>
          <w:lang w:val="en-US"/>
        </w:rPr>
        <w:drawing>
          <wp:anchor distT="0" distB="0" distL="114300" distR="114300" simplePos="0" relativeHeight="251664384" behindDoc="0" locked="0" layoutInCell="1" allowOverlap="1">
            <wp:simplePos x="0" y="0"/>
            <wp:positionH relativeFrom="column">
              <wp:posOffset>-152400</wp:posOffset>
            </wp:positionH>
            <wp:positionV relativeFrom="paragraph">
              <wp:posOffset>-323850</wp:posOffset>
            </wp:positionV>
            <wp:extent cx="2828925" cy="2419350"/>
            <wp:effectExtent l="19050" t="0" r="9525" b="0"/>
            <wp:wrapThrough wrapText="bothSides">
              <wp:wrapPolygon edited="0">
                <wp:start x="-145" y="0"/>
                <wp:lineTo x="-145" y="21430"/>
                <wp:lineTo x="21673" y="21430"/>
                <wp:lineTo x="21673" y="0"/>
                <wp:lineTo x="-145" y="0"/>
              </wp:wrapPolygon>
            </wp:wrapThrough>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2828925" cy="2419350"/>
                    </a:xfrm>
                    <a:prstGeom prst="rect">
                      <a:avLst/>
                    </a:prstGeom>
                    <a:noFill/>
                  </pic:spPr>
                </pic:pic>
              </a:graphicData>
            </a:graphic>
          </wp:anchor>
        </w:drawing>
      </w:r>
      <w:r w:rsidRPr="00DB0C2F">
        <w:rPr>
          <w:noProof/>
          <w:lang w:eastAsia="en-NZ"/>
        </w:rPr>
        <w:t xml:space="preserve"> </w:t>
      </w:r>
      <w:r w:rsidRPr="00DB0C2F">
        <w:t xml:space="preserve"> </w:t>
      </w:r>
    </w:p>
    <w:p w:rsidR="00915338" w:rsidRDefault="00915338">
      <w:pPr>
        <w:spacing w:after="0" w:line="240" w:lineRule="auto"/>
      </w:pPr>
      <w:r>
        <w:br w:type="page"/>
      </w:r>
    </w:p>
    <w:tbl>
      <w:tblPr>
        <w:tblW w:w="1048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522"/>
        <w:gridCol w:w="3694"/>
        <w:gridCol w:w="1696"/>
        <w:gridCol w:w="1180"/>
        <w:gridCol w:w="1240"/>
        <w:gridCol w:w="2156"/>
      </w:tblGrid>
      <w:tr w:rsidR="00CB6840" w:rsidTr="00CB6840">
        <w:trPr>
          <w:trHeight w:val="375"/>
          <w:jc w:val="center"/>
        </w:trPr>
        <w:tc>
          <w:tcPr>
            <w:tcW w:w="5912" w:type="dxa"/>
            <w:gridSpan w:val="3"/>
            <w:shd w:val="clear" w:color="auto" w:fill="auto"/>
            <w:noWrap/>
            <w:vAlign w:val="bottom"/>
            <w:hideMark/>
          </w:tcPr>
          <w:p w:rsidR="00CB6840" w:rsidRDefault="00CB6840" w:rsidP="00CB6840">
            <w:pPr>
              <w:spacing w:after="0"/>
              <w:rPr>
                <w:rFonts w:cs="Calibri"/>
                <w:b/>
                <w:bCs/>
                <w:color w:val="000000"/>
                <w:sz w:val="28"/>
                <w:szCs w:val="28"/>
              </w:rPr>
            </w:pPr>
            <w:r>
              <w:rPr>
                <w:rFonts w:cs="Calibri"/>
                <w:b/>
                <w:bCs/>
                <w:color w:val="000000"/>
                <w:sz w:val="28"/>
                <w:szCs w:val="28"/>
              </w:rPr>
              <w:lastRenderedPageBreak/>
              <w:t xml:space="preserve">PropertyIQ Value Index - Residential Property </w:t>
            </w:r>
          </w:p>
        </w:tc>
        <w:tc>
          <w:tcPr>
            <w:tcW w:w="1180" w:type="dxa"/>
            <w:shd w:val="clear" w:color="auto" w:fill="auto"/>
            <w:noWrap/>
            <w:vAlign w:val="bottom"/>
            <w:hideMark/>
          </w:tcPr>
          <w:p w:rsidR="00CB6840" w:rsidRDefault="00CB6840" w:rsidP="00CB6840">
            <w:pPr>
              <w:spacing w:after="0"/>
              <w:rPr>
                <w:rFonts w:cs="Calibri"/>
                <w:b/>
                <w:bCs/>
                <w:color w:val="000000"/>
                <w:sz w:val="28"/>
                <w:szCs w:val="28"/>
              </w:rPr>
            </w:pPr>
          </w:p>
        </w:tc>
        <w:tc>
          <w:tcPr>
            <w:tcW w:w="1240" w:type="dxa"/>
            <w:shd w:val="clear" w:color="auto" w:fill="auto"/>
            <w:noWrap/>
            <w:vAlign w:val="bottom"/>
            <w:hideMark/>
          </w:tcPr>
          <w:p w:rsidR="00CB6840" w:rsidRDefault="00CB6840" w:rsidP="00CB6840">
            <w:pPr>
              <w:spacing w:after="0"/>
              <w:rPr>
                <w:rFonts w:ascii="Arial" w:hAnsi="Arial" w:cs="Arial"/>
                <w:color w:val="000000"/>
                <w:sz w:val="20"/>
                <w:szCs w:val="20"/>
              </w:rPr>
            </w:pPr>
          </w:p>
        </w:tc>
        <w:tc>
          <w:tcPr>
            <w:tcW w:w="2156" w:type="dxa"/>
            <w:shd w:val="clear" w:color="auto" w:fill="auto"/>
            <w:noWrap/>
            <w:vAlign w:val="bottom"/>
            <w:hideMark/>
          </w:tcPr>
          <w:p w:rsidR="00CB6840" w:rsidRDefault="00CB6840" w:rsidP="00CB6840">
            <w:pPr>
              <w:spacing w:after="0"/>
              <w:jc w:val="center"/>
              <w:rPr>
                <w:rFonts w:ascii="Arial" w:hAnsi="Arial" w:cs="Arial"/>
                <w:b/>
                <w:bCs/>
                <w:color w:val="FF0000"/>
                <w:sz w:val="20"/>
                <w:szCs w:val="20"/>
              </w:rPr>
            </w:pPr>
          </w:p>
        </w:tc>
      </w:tr>
      <w:tr w:rsidR="00CB6840" w:rsidTr="00CB6840">
        <w:trPr>
          <w:trHeight w:val="315"/>
          <w:jc w:val="center"/>
        </w:trPr>
        <w:tc>
          <w:tcPr>
            <w:tcW w:w="4216" w:type="dxa"/>
            <w:gridSpan w:val="2"/>
            <w:shd w:val="clear" w:color="auto" w:fill="auto"/>
            <w:noWrap/>
            <w:vAlign w:val="bottom"/>
            <w:hideMark/>
          </w:tcPr>
          <w:p w:rsidR="00CB6840" w:rsidRDefault="00CB6840" w:rsidP="00CB6840">
            <w:pPr>
              <w:spacing w:after="0"/>
              <w:rPr>
                <w:rFonts w:cs="Calibri"/>
                <w:color w:val="000000"/>
                <w:sz w:val="24"/>
                <w:szCs w:val="24"/>
              </w:rPr>
            </w:pPr>
            <w:r>
              <w:rPr>
                <w:rFonts w:cs="Calibri"/>
                <w:color w:val="000000"/>
              </w:rPr>
              <w:t>Time period: as at May 2013</w:t>
            </w:r>
          </w:p>
        </w:tc>
        <w:tc>
          <w:tcPr>
            <w:tcW w:w="1696" w:type="dxa"/>
            <w:shd w:val="clear" w:color="auto" w:fill="auto"/>
            <w:noWrap/>
            <w:vAlign w:val="bottom"/>
            <w:hideMark/>
          </w:tcPr>
          <w:p w:rsidR="00CB6840" w:rsidRDefault="00CB6840" w:rsidP="00CB6840">
            <w:pPr>
              <w:spacing w:after="0"/>
              <w:rPr>
                <w:rFonts w:cs="Calibri"/>
                <w:color w:val="000000"/>
                <w:sz w:val="24"/>
                <w:szCs w:val="24"/>
              </w:rPr>
            </w:pPr>
          </w:p>
        </w:tc>
        <w:tc>
          <w:tcPr>
            <w:tcW w:w="1180" w:type="dxa"/>
            <w:shd w:val="clear" w:color="auto" w:fill="auto"/>
            <w:noWrap/>
            <w:vAlign w:val="bottom"/>
            <w:hideMark/>
          </w:tcPr>
          <w:p w:rsidR="00CB6840" w:rsidRDefault="00CB6840" w:rsidP="00CB6840">
            <w:pPr>
              <w:spacing w:after="0"/>
              <w:rPr>
                <w:rFonts w:cs="Calibri"/>
                <w:color w:val="000000"/>
                <w:sz w:val="24"/>
                <w:szCs w:val="24"/>
              </w:rPr>
            </w:pPr>
          </w:p>
        </w:tc>
        <w:tc>
          <w:tcPr>
            <w:tcW w:w="1240" w:type="dxa"/>
            <w:shd w:val="clear" w:color="auto" w:fill="auto"/>
            <w:noWrap/>
            <w:vAlign w:val="bottom"/>
            <w:hideMark/>
          </w:tcPr>
          <w:p w:rsidR="00CB6840" w:rsidRDefault="00CB6840" w:rsidP="00CB6840">
            <w:pPr>
              <w:spacing w:after="0"/>
              <w:rPr>
                <w:rFonts w:ascii="Arial" w:hAnsi="Arial" w:cs="Arial"/>
                <w:color w:val="000000"/>
                <w:sz w:val="20"/>
                <w:szCs w:val="20"/>
              </w:rPr>
            </w:pPr>
          </w:p>
        </w:tc>
        <w:tc>
          <w:tcPr>
            <w:tcW w:w="2156" w:type="dxa"/>
            <w:shd w:val="clear" w:color="auto" w:fill="auto"/>
            <w:noWrap/>
            <w:vAlign w:val="bottom"/>
            <w:hideMark/>
          </w:tcPr>
          <w:p w:rsidR="00CB6840" w:rsidRDefault="00CB6840" w:rsidP="00CB6840">
            <w:pPr>
              <w:spacing w:after="0"/>
              <w:rPr>
                <w:rFonts w:ascii="Arial" w:hAnsi="Arial" w:cs="Arial"/>
                <w:color w:val="000000"/>
                <w:sz w:val="20"/>
                <w:szCs w:val="20"/>
              </w:rPr>
            </w:pPr>
          </w:p>
        </w:tc>
      </w:tr>
      <w:tr w:rsidR="00CB6840" w:rsidTr="00CB6840">
        <w:trPr>
          <w:trHeight w:val="255"/>
          <w:jc w:val="center"/>
        </w:trPr>
        <w:tc>
          <w:tcPr>
            <w:tcW w:w="522" w:type="dxa"/>
            <w:shd w:val="clear" w:color="auto" w:fill="auto"/>
            <w:vAlign w:val="bottom"/>
            <w:hideMark/>
          </w:tcPr>
          <w:p w:rsidR="00CB6840" w:rsidRDefault="00CB6840" w:rsidP="00CB6840">
            <w:pPr>
              <w:spacing w:after="0"/>
              <w:jc w:val="center"/>
              <w:rPr>
                <w:rFonts w:ascii="Arial" w:hAnsi="Arial" w:cs="Arial"/>
                <w:color w:val="000000"/>
                <w:sz w:val="20"/>
                <w:szCs w:val="20"/>
              </w:rPr>
            </w:pPr>
          </w:p>
        </w:tc>
        <w:tc>
          <w:tcPr>
            <w:tcW w:w="3694" w:type="dxa"/>
            <w:shd w:val="clear" w:color="auto" w:fill="auto"/>
            <w:vAlign w:val="bottom"/>
            <w:hideMark/>
          </w:tcPr>
          <w:p w:rsidR="00CB6840" w:rsidRDefault="00CB6840" w:rsidP="00CB6840">
            <w:pPr>
              <w:spacing w:after="0"/>
              <w:jc w:val="center"/>
              <w:rPr>
                <w:rFonts w:ascii="Arial" w:hAnsi="Arial" w:cs="Arial"/>
                <w:color w:val="000000"/>
                <w:sz w:val="20"/>
                <w:szCs w:val="20"/>
              </w:rPr>
            </w:pPr>
          </w:p>
        </w:tc>
        <w:tc>
          <w:tcPr>
            <w:tcW w:w="1696" w:type="dxa"/>
            <w:shd w:val="clear" w:color="auto" w:fill="auto"/>
            <w:vAlign w:val="bottom"/>
            <w:hideMark/>
          </w:tcPr>
          <w:p w:rsidR="00CB6840" w:rsidRDefault="00CB6840" w:rsidP="00CB6840">
            <w:pPr>
              <w:spacing w:after="0"/>
              <w:jc w:val="center"/>
              <w:rPr>
                <w:rFonts w:ascii="Arial" w:hAnsi="Arial" w:cs="Arial"/>
                <w:color w:val="000000"/>
                <w:sz w:val="20"/>
                <w:szCs w:val="20"/>
              </w:rPr>
            </w:pPr>
          </w:p>
        </w:tc>
        <w:tc>
          <w:tcPr>
            <w:tcW w:w="1180" w:type="dxa"/>
            <w:shd w:val="clear" w:color="auto" w:fill="auto"/>
            <w:vAlign w:val="bottom"/>
            <w:hideMark/>
          </w:tcPr>
          <w:p w:rsidR="00CB6840" w:rsidRDefault="00CB6840" w:rsidP="00CB6840">
            <w:pPr>
              <w:spacing w:after="0"/>
              <w:jc w:val="center"/>
              <w:rPr>
                <w:rFonts w:ascii="Arial" w:hAnsi="Arial" w:cs="Arial"/>
                <w:color w:val="000000"/>
                <w:sz w:val="20"/>
                <w:szCs w:val="20"/>
              </w:rPr>
            </w:pPr>
          </w:p>
        </w:tc>
        <w:tc>
          <w:tcPr>
            <w:tcW w:w="1240" w:type="dxa"/>
            <w:shd w:val="clear" w:color="auto" w:fill="auto"/>
            <w:noWrap/>
            <w:vAlign w:val="bottom"/>
            <w:hideMark/>
          </w:tcPr>
          <w:p w:rsidR="00CB6840" w:rsidRDefault="00CB6840" w:rsidP="00CB6840">
            <w:pPr>
              <w:spacing w:after="0"/>
              <w:rPr>
                <w:rFonts w:ascii="Arial" w:hAnsi="Arial" w:cs="Arial"/>
                <w:color w:val="000000"/>
                <w:sz w:val="20"/>
                <w:szCs w:val="20"/>
              </w:rPr>
            </w:pPr>
          </w:p>
        </w:tc>
        <w:tc>
          <w:tcPr>
            <w:tcW w:w="2156" w:type="dxa"/>
            <w:shd w:val="clear" w:color="auto" w:fill="auto"/>
            <w:noWrap/>
            <w:vAlign w:val="bottom"/>
            <w:hideMark/>
          </w:tcPr>
          <w:p w:rsidR="00CB6840" w:rsidRDefault="00CB6840" w:rsidP="00CB6840">
            <w:pPr>
              <w:spacing w:after="0"/>
              <w:rPr>
                <w:rFonts w:ascii="Arial" w:hAnsi="Arial" w:cs="Arial"/>
                <w:color w:val="000000"/>
                <w:sz w:val="20"/>
                <w:szCs w:val="20"/>
              </w:rPr>
            </w:pPr>
          </w:p>
        </w:tc>
      </w:tr>
      <w:tr w:rsidR="00CB6840" w:rsidTr="00CB6840">
        <w:trPr>
          <w:trHeight w:val="600"/>
          <w:jc w:val="center"/>
        </w:trPr>
        <w:tc>
          <w:tcPr>
            <w:tcW w:w="522" w:type="dxa"/>
            <w:shd w:val="clear" w:color="auto" w:fill="auto"/>
            <w:hideMark/>
          </w:tcPr>
          <w:p w:rsidR="00CB6840" w:rsidRDefault="00CB6840" w:rsidP="00CB6840">
            <w:pPr>
              <w:spacing w:after="0"/>
              <w:jc w:val="center"/>
              <w:rPr>
                <w:rFonts w:cs="Calibri"/>
                <w:b/>
                <w:bCs/>
                <w:color w:val="000000"/>
              </w:rPr>
            </w:pPr>
          </w:p>
        </w:tc>
        <w:tc>
          <w:tcPr>
            <w:tcW w:w="3694" w:type="dxa"/>
            <w:shd w:val="clear" w:color="auto" w:fill="auto"/>
            <w:hideMark/>
          </w:tcPr>
          <w:p w:rsidR="00CB6840" w:rsidRDefault="00CB6840" w:rsidP="00CB6840">
            <w:pPr>
              <w:spacing w:after="0"/>
              <w:rPr>
                <w:rFonts w:cs="Calibri"/>
                <w:b/>
                <w:bCs/>
                <w:color w:val="000000"/>
              </w:rPr>
            </w:pPr>
            <w:r>
              <w:rPr>
                <w:rFonts w:cs="Calibri"/>
                <w:b/>
                <w:bCs/>
                <w:color w:val="000000"/>
              </w:rPr>
              <w:t>Territorial authority</w:t>
            </w:r>
          </w:p>
        </w:tc>
        <w:tc>
          <w:tcPr>
            <w:tcW w:w="1696" w:type="dxa"/>
            <w:shd w:val="clear" w:color="auto" w:fill="auto"/>
            <w:hideMark/>
          </w:tcPr>
          <w:p w:rsidR="00CB6840" w:rsidRDefault="00CB6840" w:rsidP="00CB6840">
            <w:pPr>
              <w:spacing w:after="0"/>
              <w:jc w:val="center"/>
              <w:rPr>
                <w:rFonts w:cs="Calibri"/>
                <w:b/>
                <w:bCs/>
                <w:color w:val="000000"/>
              </w:rPr>
            </w:pPr>
            <w:r>
              <w:rPr>
                <w:rFonts w:cs="Calibri"/>
                <w:b/>
                <w:bCs/>
                <w:color w:val="000000"/>
              </w:rPr>
              <w:t>Average current value</w:t>
            </w:r>
          </w:p>
        </w:tc>
        <w:tc>
          <w:tcPr>
            <w:tcW w:w="1180" w:type="dxa"/>
            <w:shd w:val="clear" w:color="auto" w:fill="auto"/>
            <w:hideMark/>
          </w:tcPr>
          <w:p w:rsidR="00CB6840" w:rsidRDefault="00CB6840" w:rsidP="00CB6840">
            <w:pPr>
              <w:spacing w:after="0"/>
              <w:jc w:val="center"/>
              <w:rPr>
                <w:rFonts w:cs="Calibri"/>
                <w:b/>
                <w:bCs/>
                <w:color w:val="000000"/>
              </w:rPr>
            </w:pPr>
            <w:r>
              <w:rPr>
                <w:rFonts w:cs="Calibri"/>
                <w:b/>
                <w:bCs/>
                <w:color w:val="000000"/>
              </w:rPr>
              <w:t>12 month change%</w:t>
            </w:r>
          </w:p>
        </w:tc>
        <w:tc>
          <w:tcPr>
            <w:tcW w:w="1240" w:type="dxa"/>
            <w:shd w:val="clear" w:color="auto" w:fill="auto"/>
            <w:hideMark/>
          </w:tcPr>
          <w:p w:rsidR="00CB6840" w:rsidRDefault="00CB6840" w:rsidP="00CB6840">
            <w:pPr>
              <w:spacing w:after="0"/>
              <w:jc w:val="center"/>
              <w:rPr>
                <w:rFonts w:cs="Calibri"/>
                <w:b/>
                <w:bCs/>
                <w:color w:val="000000"/>
              </w:rPr>
            </w:pPr>
            <w:r>
              <w:rPr>
                <w:rFonts w:cs="Calibri"/>
                <w:b/>
                <w:bCs/>
                <w:color w:val="000000"/>
              </w:rPr>
              <w:t>3 month change %</w:t>
            </w:r>
          </w:p>
        </w:tc>
        <w:tc>
          <w:tcPr>
            <w:tcW w:w="2156" w:type="dxa"/>
            <w:shd w:val="clear" w:color="auto" w:fill="auto"/>
            <w:hideMark/>
          </w:tcPr>
          <w:p w:rsidR="00CB6840" w:rsidRDefault="00CB6840" w:rsidP="00CB6840">
            <w:pPr>
              <w:spacing w:after="0"/>
              <w:jc w:val="center"/>
              <w:rPr>
                <w:rFonts w:cs="Calibri"/>
                <w:b/>
                <w:bCs/>
                <w:color w:val="000000"/>
              </w:rPr>
            </w:pPr>
            <w:r>
              <w:rPr>
                <w:rFonts w:cs="Calibri"/>
                <w:b/>
                <w:bCs/>
                <w:color w:val="000000"/>
              </w:rPr>
              <w:t>Since 2007 market peak change %</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Far North</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312,993</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0.3%</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0.3%</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-23.2%</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Whangarei</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329,285</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0.0%</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1.6%</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-16.8%</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proofErr w:type="spellStart"/>
            <w:r>
              <w:rPr>
                <w:rFonts w:cs="Calibri"/>
                <w:color w:val="000000"/>
              </w:rPr>
              <w:t>Kaipara</w:t>
            </w:r>
            <w:proofErr w:type="spellEnd"/>
          </w:p>
        </w:tc>
        <w:tc>
          <w:tcPr>
            <w:tcW w:w="1696" w:type="dxa"/>
            <w:shd w:val="clear" w:color="auto" w:fill="auto"/>
            <w:noWrap/>
            <w:vAlign w:val="bottom"/>
            <w:hideMark/>
          </w:tcPr>
          <w:p w:rsidR="00CB6840" w:rsidRDefault="00CB6840" w:rsidP="00CB6840">
            <w:pPr>
              <w:spacing w:after="0"/>
              <w:jc w:val="right"/>
              <w:rPr>
                <w:rFonts w:cs="Calibri"/>
                <w:i/>
                <w:iCs/>
              </w:rPr>
            </w:pPr>
            <w:r>
              <w:rPr>
                <w:rFonts w:cs="Calibri"/>
                <w:i/>
                <w:iCs/>
              </w:rPr>
              <w:t>315,212</w:t>
            </w:r>
          </w:p>
        </w:tc>
        <w:tc>
          <w:tcPr>
            <w:tcW w:w="1180" w:type="dxa"/>
            <w:shd w:val="clear" w:color="auto" w:fill="auto"/>
            <w:noWrap/>
            <w:vAlign w:val="bottom"/>
            <w:hideMark/>
          </w:tcPr>
          <w:p w:rsidR="00CB6840" w:rsidRDefault="00CB6840" w:rsidP="00CB6840">
            <w:pPr>
              <w:spacing w:after="0"/>
              <w:jc w:val="right"/>
              <w:rPr>
                <w:rFonts w:cs="Calibri"/>
                <w:i/>
                <w:iCs/>
              </w:rPr>
            </w:pPr>
            <w:r>
              <w:rPr>
                <w:rFonts w:cs="Calibri"/>
                <w:i/>
                <w:iCs/>
              </w:rPr>
              <w:t>3.7%</w:t>
            </w:r>
          </w:p>
        </w:tc>
        <w:tc>
          <w:tcPr>
            <w:tcW w:w="1240" w:type="dxa"/>
            <w:shd w:val="clear" w:color="auto" w:fill="auto"/>
            <w:noWrap/>
            <w:vAlign w:val="bottom"/>
            <w:hideMark/>
          </w:tcPr>
          <w:p w:rsidR="00CB6840" w:rsidRDefault="00CB6840" w:rsidP="00CB6840">
            <w:pPr>
              <w:spacing w:after="0"/>
              <w:jc w:val="right"/>
              <w:rPr>
                <w:rFonts w:cs="Calibri"/>
                <w:i/>
                <w:iCs/>
              </w:rPr>
            </w:pPr>
            <w:r>
              <w:rPr>
                <w:rFonts w:cs="Calibri"/>
                <w:i/>
                <w:iCs/>
              </w:rPr>
              <w:t>1.7%</w:t>
            </w:r>
          </w:p>
        </w:tc>
        <w:tc>
          <w:tcPr>
            <w:tcW w:w="2156" w:type="dxa"/>
            <w:shd w:val="clear" w:color="auto" w:fill="auto"/>
            <w:noWrap/>
            <w:vAlign w:val="bottom"/>
            <w:hideMark/>
          </w:tcPr>
          <w:p w:rsidR="00CB6840" w:rsidRDefault="00CB6840" w:rsidP="00CB6840">
            <w:pPr>
              <w:spacing w:after="0"/>
              <w:jc w:val="right"/>
              <w:rPr>
                <w:rFonts w:cs="Calibri"/>
                <w:i/>
                <w:iCs/>
              </w:rPr>
            </w:pPr>
            <w:r>
              <w:rPr>
                <w:rFonts w:cs="Calibri"/>
                <w:i/>
                <w:iCs/>
              </w:rPr>
              <w:t>-21.4%</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Auckland - Rodney</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606,122</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8.6%</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3.3%</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2.4%</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noWrap/>
            <w:vAlign w:val="bottom"/>
            <w:hideMark/>
          </w:tcPr>
          <w:p w:rsidR="00CB6840" w:rsidRDefault="00CB6840" w:rsidP="00CB6840">
            <w:pPr>
              <w:spacing w:after="0"/>
              <w:ind w:firstLineChars="200" w:firstLine="440"/>
              <w:rPr>
                <w:rFonts w:cs="Calibri"/>
                <w:color w:val="000000"/>
              </w:rPr>
            </w:pPr>
            <w:r>
              <w:rPr>
                <w:rFonts w:cs="Calibri"/>
                <w:color w:val="000000"/>
              </w:rPr>
              <w:t>Rodney - Hibiscus Coast</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605,938</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8.9%</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3.6%</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3.2%</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noWrap/>
            <w:vAlign w:val="bottom"/>
            <w:hideMark/>
          </w:tcPr>
          <w:p w:rsidR="00CB6840" w:rsidRDefault="00CB6840" w:rsidP="00CB6840">
            <w:pPr>
              <w:spacing w:after="0"/>
              <w:ind w:firstLineChars="200" w:firstLine="440"/>
              <w:rPr>
                <w:rFonts w:cs="Calibri"/>
                <w:color w:val="000000"/>
              </w:rPr>
            </w:pPr>
            <w:r>
              <w:rPr>
                <w:rFonts w:cs="Calibri"/>
                <w:color w:val="000000"/>
              </w:rPr>
              <w:t>Rodney - North</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605,087</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8.3%</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2.6%</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0.7%</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r>
              <w:rPr>
                <w:rFonts w:cs="Calibri"/>
                <w:color w:val="000000"/>
              </w:rPr>
              <w:t>#A</w:t>
            </w: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Auckland - North Shore</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743,810</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12.9%</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3.6%</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16.0%</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noWrap/>
            <w:vAlign w:val="bottom"/>
            <w:hideMark/>
          </w:tcPr>
          <w:p w:rsidR="00CB6840" w:rsidRDefault="00CB6840" w:rsidP="00CB6840">
            <w:pPr>
              <w:spacing w:after="0"/>
              <w:ind w:firstLineChars="200" w:firstLine="440"/>
              <w:rPr>
                <w:rFonts w:cs="Calibri"/>
                <w:color w:val="000000"/>
              </w:rPr>
            </w:pPr>
            <w:r>
              <w:rPr>
                <w:rFonts w:cs="Calibri"/>
                <w:color w:val="000000"/>
              </w:rPr>
              <w:t>North Shore - Coastal</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861,232</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13.3%</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4.6%</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14.3%</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noWrap/>
            <w:vAlign w:val="bottom"/>
            <w:hideMark/>
          </w:tcPr>
          <w:p w:rsidR="00CB6840" w:rsidRDefault="00CB6840" w:rsidP="00CB6840">
            <w:pPr>
              <w:spacing w:after="0"/>
              <w:ind w:firstLineChars="200" w:firstLine="440"/>
              <w:rPr>
                <w:rFonts w:cs="Calibri"/>
                <w:color w:val="000000"/>
              </w:rPr>
            </w:pPr>
            <w:r>
              <w:rPr>
                <w:rFonts w:cs="Calibri"/>
                <w:color w:val="000000"/>
              </w:rPr>
              <w:t xml:space="preserve">North Shore - </w:t>
            </w:r>
            <w:proofErr w:type="spellStart"/>
            <w:r>
              <w:rPr>
                <w:rFonts w:cs="Calibri"/>
                <w:color w:val="000000"/>
              </w:rPr>
              <w:t>Onewa</w:t>
            </w:r>
            <w:proofErr w:type="spellEnd"/>
          </w:p>
        </w:tc>
        <w:tc>
          <w:tcPr>
            <w:tcW w:w="1696" w:type="dxa"/>
            <w:shd w:val="clear" w:color="auto" w:fill="auto"/>
            <w:noWrap/>
            <w:vAlign w:val="bottom"/>
            <w:hideMark/>
          </w:tcPr>
          <w:p w:rsidR="00CB6840" w:rsidRDefault="00CB6840" w:rsidP="00CB6840">
            <w:pPr>
              <w:spacing w:after="0"/>
              <w:jc w:val="right"/>
              <w:rPr>
                <w:rFonts w:cs="Calibri"/>
              </w:rPr>
            </w:pPr>
            <w:r>
              <w:rPr>
                <w:rFonts w:cs="Calibri"/>
              </w:rPr>
              <w:t>585,659</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13.4%</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2.1%</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18.1%</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noWrap/>
            <w:vAlign w:val="bottom"/>
            <w:hideMark/>
          </w:tcPr>
          <w:p w:rsidR="00CB6840" w:rsidRDefault="00CB6840" w:rsidP="00CB6840">
            <w:pPr>
              <w:spacing w:after="0"/>
              <w:ind w:firstLineChars="200" w:firstLine="440"/>
              <w:rPr>
                <w:rFonts w:cs="Calibri"/>
                <w:color w:val="000000"/>
              </w:rPr>
            </w:pPr>
            <w:r>
              <w:rPr>
                <w:rFonts w:cs="Calibri"/>
                <w:color w:val="000000"/>
              </w:rPr>
              <w:t>North Shore - North Harbour</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715,951</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11.5%</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3.5%</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17.8%</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r>
              <w:rPr>
                <w:rFonts w:cs="Calibri"/>
                <w:color w:val="000000"/>
              </w:rPr>
              <w:t>#A</w:t>
            </w: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Auckland - Waitakere</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482,338</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13.5%</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3.9%</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13.3%</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r>
              <w:rPr>
                <w:rFonts w:cs="Calibri"/>
                <w:color w:val="000000"/>
              </w:rPr>
              <w:t>#A</w:t>
            </w: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Auckland - City</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751,429</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13.1%</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3.7%</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20.4%</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noWrap/>
            <w:vAlign w:val="bottom"/>
            <w:hideMark/>
          </w:tcPr>
          <w:p w:rsidR="00CB6840" w:rsidRDefault="00CB6840" w:rsidP="00CB6840">
            <w:pPr>
              <w:spacing w:after="0"/>
              <w:ind w:firstLineChars="200" w:firstLine="440"/>
              <w:rPr>
                <w:rFonts w:cs="Calibri"/>
                <w:color w:val="000000"/>
              </w:rPr>
            </w:pPr>
            <w:r>
              <w:rPr>
                <w:rFonts w:cs="Calibri"/>
                <w:color w:val="000000"/>
              </w:rPr>
              <w:t>Auckland City - Central</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684,799</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13.3%</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4.6%</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20.2%</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noWrap/>
            <w:vAlign w:val="bottom"/>
            <w:hideMark/>
          </w:tcPr>
          <w:p w:rsidR="00CB6840" w:rsidRDefault="00CB6840" w:rsidP="00CB6840">
            <w:pPr>
              <w:spacing w:after="0"/>
              <w:ind w:firstLineChars="200" w:firstLine="440"/>
              <w:rPr>
                <w:rFonts w:cs="Calibri"/>
                <w:color w:val="000000"/>
              </w:rPr>
            </w:pPr>
            <w:r>
              <w:rPr>
                <w:rFonts w:cs="Calibri"/>
                <w:color w:val="000000"/>
              </w:rPr>
              <w:t>Auckland City - East</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920,652</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11.1%</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2.1%</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15.5%</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noWrap/>
            <w:vAlign w:val="bottom"/>
            <w:hideMark/>
          </w:tcPr>
          <w:p w:rsidR="00CB6840" w:rsidRDefault="00CB6840" w:rsidP="00CB6840">
            <w:pPr>
              <w:spacing w:after="0"/>
              <w:ind w:firstLineChars="200" w:firstLine="440"/>
              <w:rPr>
                <w:rFonts w:cs="Calibri"/>
                <w:color w:val="000000"/>
              </w:rPr>
            </w:pPr>
            <w:r>
              <w:rPr>
                <w:rFonts w:cs="Calibri"/>
                <w:color w:val="000000"/>
              </w:rPr>
              <w:t>Auckland City - South</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670,592</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15.6%</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4.8%</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24.6%</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noWrap/>
            <w:vAlign w:val="bottom"/>
            <w:hideMark/>
          </w:tcPr>
          <w:p w:rsidR="00CB6840" w:rsidRDefault="00CB6840" w:rsidP="00CB6840">
            <w:pPr>
              <w:spacing w:after="0"/>
              <w:ind w:firstLineChars="200" w:firstLine="440"/>
              <w:rPr>
                <w:rFonts w:cs="Calibri"/>
                <w:color w:val="000000"/>
              </w:rPr>
            </w:pPr>
            <w:r>
              <w:rPr>
                <w:rFonts w:cs="Calibri"/>
                <w:color w:val="000000"/>
              </w:rPr>
              <w:t>Auckland City - Islands</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683,068</w:t>
            </w:r>
          </w:p>
        </w:tc>
        <w:tc>
          <w:tcPr>
            <w:tcW w:w="1180" w:type="dxa"/>
            <w:shd w:val="clear" w:color="auto" w:fill="auto"/>
            <w:noWrap/>
            <w:vAlign w:val="bottom"/>
            <w:hideMark/>
          </w:tcPr>
          <w:p w:rsidR="00CB6840" w:rsidRDefault="00CB6840" w:rsidP="00CB6840">
            <w:pPr>
              <w:spacing w:after="0"/>
              <w:jc w:val="right"/>
              <w:rPr>
                <w:rFonts w:cs="Calibri"/>
                <w:i/>
                <w:iCs/>
              </w:rPr>
            </w:pPr>
            <w:r>
              <w:rPr>
                <w:rFonts w:cs="Calibri"/>
                <w:i/>
                <w:iCs/>
              </w:rPr>
              <w:t>6.4%</w:t>
            </w:r>
          </w:p>
        </w:tc>
        <w:tc>
          <w:tcPr>
            <w:tcW w:w="1240" w:type="dxa"/>
            <w:shd w:val="clear" w:color="auto" w:fill="auto"/>
            <w:noWrap/>
            <w:vAlign w:val="bottom"/>
            <w:hideMark/>
          </w:tcPr>
          <w:p w:rsidR="00CB6840" w:rsidRDefault="00CB6840" w:rsidP="00CB6840">
            <w:pPr>
              <w:spacing w:after="0"/>
              <w:jc w:val="right"/>
              <w:rPr>
                <w:rFonts w:cs="Calibri"/>
                <w:i/>
                <w:iCs/>
              </w:rPr>
            </w:pPr>
            <w:r>
              <w:rPr>
                <w:rFonts w:cs="Calibri"/>
                <w:i/>
                <w:iCs/>
              </w:rPr>
              <w:t>3.5%</w:t>
            </w:r>
          </w:p>
        </w:tc>
        <w:tc>
          <w:tcPr>
            <w:tcW w:w="2156" w:type="dxa"/>
            <w:shd w:val="clear" w:color="auto" w:fill="auto"/>
            <w:noWrap/>
            <w:vAlign w:val="bottom"/>
            <w:hideMark/>
          </w:tcPr>
          <w:p w:rsidR="00CB6840" w:rsidRDefault="00CB6840" w:rsidP="00CB6840">
            <w:pPr>
              <w:spacing w:after="0"/>
              <w:jc w:val="right"/>
              <w:rPr>
                <w:rFonts w:cs="Calibri"/>
                <w:i/>
                <w:iCs/>
              </w:rPr>
            </w:pPr>
            <w:r>
              <w:rPr>
                <w:rFonts w:cs="Calibri"/>
                <w:i/>
                <w:iCs/>
              </w:rPr>
              <w:t>6.9%</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r>
              <w:rPr>
                <w:rFonts w:cs="Calibri"/>
                <w:color w:val="000000"/>
              </w:rPr>
              <w:t>#A</w:t>
            </w: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Auckland - Manukau</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518,525</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12.1%</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3.3%</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12.8%</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noWrap/>
            <w:vAlign w:val="bottom"/>
            <w:hideMark/>
          </w:tcPr>
          <w:p w:rsidR="00CB6840" w:rsidRDefault="00CB6840" w:rsidP="00CB6840">
            <w:pPr>
              <w:spacing w:after="0"/>
              <w:ind w:firstLineChars="200" w:firstLine="440"/>
              <w:rPr>
                <w:rFonts w:cs="Calibri"/>
                <w:color w:val="000000"/>
              </w:rPr>
            </w:pPr>
            <w:r>
              <w:rPr>
                <w:rFonts w:cs="Calibri"/>
                <w:color w:val="000000"/>
              </w:rPr>
              <w:t>Manukau - East</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694,449</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12.7%</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3.5%</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16.5%</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noWrap/>
            <w:vAlign w:val="bottom"/>
            <w:hideMark/>
          </w:tcPr>
          <w:p w:rsidR="00CB6840" w:rsidRDefault="00CB6840" w:rsidP="00CB6840">
            <w:pPr>
              <w:spacing w:after="0"/>
              <w:ind w:firstLineChars="200" w:firstLine="440"/>
              <w:rPr>
                <w:rFonts w:cs="Calibri"/>
                <w:color w:val="000000"/>
              </w:rPr>
            </w:pPr>
            <w:r>
              <w:rPr>
                <w:rFonts w:cs="Calibri"/>
                <w:color w:val="000000"/>
              </w:rPr>
              <w:t>Manukau - Central</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395,722</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11.5%</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2.7%</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5.3%</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noWrap/>
            <w:vAlign w:val="bottom"/>
            <w:hideMark/>
          </w:tcPr>
          <w:p w:rsidR="00CB6840" w:rsidRDefault="00CB6840" w:rsidP="00CB6840">
            <w:pPr>
              <w:spacing w:after="0"/>
              <w:ind w:firstLineChars="200" w:firstLine="440"/>
              <w:rPr>
                <w:rFonts w:cs="Calibri"/>
                <w:color w:val="000000"/>
              </w:rPr>
            </w:pPr>
            <w:r>
              <w:rPr>
                <w:rFonts w:cs="Calibri"/>
                <w:color w:val="000000"/>
              </w:rPr>
              <w:t>Manukau - North West</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420,484</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12.3%</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3.5%</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13.8%</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r>
              <w:rPr>
                <w:rFonts w:cs="Calibri"/>
                <w:color w:val="000000"/>
              </w:rPr>
              <w:t>#A</w:t>
            </w: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Auckland - Papakura</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378,513</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8.8%</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2.7%</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5.3%</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Auckland - Franklin</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415,855</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7.7%</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3.7%</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2.5%</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Thames Coromandel</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489,813</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0.7%</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-0.8%</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-16.4%</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Hauraki</w:t>
            </w:r>
          </w:p>
        </w:tc>
        <w:tc>
          <w:tcPr>
            <w:tcW w:w="1696" w:type="dxa"/>
            <w:shd w:val="clear" w:color="auto" w:fill="auto"/>
            <w:noWrap/>
            <w:vAlign w:val="bottom"/>
            <w:hideMark/>
          </w:tcPr>
          <w:p w:rsidR="00CB6840" w:rsidRDefault="00CB6840" w:rsidP="00CB6840">
            <w:pPr>
              <w:spacing w:after="0"/>
              <w:jc w:val="right"/>
              <w:rPr>
                <w:rFonts w:cs="Calibri"/>
                <w:i/>
                <w:iCs/>
              </w:rPr>
            </w:pPr>
            <w:r>
              <w:rPr>
                <w:rFonts w:cs="Calibri"/>
                <w:i/>
                <w:iCs/>
              </w:rPr>
              <w:t>245,549</w:t>
            </w:r>
          </w:p>
        </w:tc>
        <w:tc>
          <w:tcPr>
            <w:tcW w:w="1180" w:type="dxa"/>
            <w:shd w:val="clear" w:color="auto" w:fill="auto"/>
            <w:noWrap/>
            <w:vAlign w:val="bottom"/>
            <w:hideMark/>
          </w:tcPr>
          <w:p w:rsidR="00CB6840" w:rsidRDefault="00CB6840" w:rsidP="00CB6840">
            <w:pPr>
              <w:spacing w:after="0"/>
              <w:jc w:val="right"/>
              <w:rPr>
                <w:rFonts w:cs="Calibri"/>
                <w:i/>
                <w:iCs/>
              </w:rPr>
            </w:pPr>
            <w:r>
              <w:rPr>
                <w:rFonts w:cs="Calibri"/>
                <w:i/>
                <w:iCs/>
              </w:rPr>
              <w:t>2.5%</w:t>
            </w:r>
          </w:p>
        </w:tc>
        <w:tc>
          <w:tcPr>
            <w:tcW w:w="1240" w:type="dxa"/>
            <w:shd w:val="clear" w:color="auto" w:fill="auto"/>
            <w:noWrap/>
            <w:vAlign w:val="bottom"/>
            <w:hideMark/>
          </w:tcPr>
          <w:p w:rsidR="00CB6840" w:rsidRDefault="00CB6840" w:rsidP="00CB6840">
            <w:pPr>
              <w:spacing w:after="0"/>
              <w:jc w:val="right"/>
              <w:rPr>
                <w:rFonts w:cs="Calibri"/>
                <w:i/>
                <w:iCs/>
                <w:color w:val="000000"/>
              </w:rPr>
            </w:pPr>
            <w:r>
              <w:rPr>
                <w:rFonts w:cs="Calibri"/>
                <w:i/>
                <w:iCs/>
                <w:color w:val="000000"/>
              </w:rPr>
              <w:t>2.9%</w:t>
            </w:r>
          </w:p>
        </w:tc>
        <w:tc>
          <w:tcPr>
            <w:tcW w:w="2156" w:type="dxa"/>
            <w:shd w:val="clear" w:color="auto" w:fill="auto"/>
            <w:noWrap/>
            <w:vAlign w:val="bottom"/>
            <w:hideMark/>
          </w:tcPr>
          <w:p w:rsidR="00CB6840" w:rsidRDefault="00CB6840" w:rsidP="00CB6840">
            <w:pPr>
              <w:spacing w:after="0"/>
              <w:jc w:val="right"/>
              <w:rPr>
                <w:rFonts w:cs="Calibri"/>
                <w:i/>
                <w:iCs/>
                <w:color w:val="000000"/>
              </w:rPr>
            </w:pPr>
            <w:r>
              <w:rPr>
                <w:rFonts w:cs="Calibri"/>
                <w:i/>
                <w:iCs/>
                <w:color w:val="000000"/>
              </w:rPr>
              <w:t>-14.0%</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Waikato</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274,727</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6.9%</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3.4%</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-15.2%</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proofErr w:type="spellStart"/>
            <w:r>
              <w:rPr>
                <w:rFonts w:cs="Calibri"/>
                <w:color w:val="000000"/>
              </w:rPr>
              <w:t>Matamata</w:t>
            </w:r>
            <w:proofErr w:type="spellEnd"/>
            <w:r>
              <w:rPr>
                <w:rFonts w:cs="Calibri"/>
                <w:color w:val="000000"/>
              </w:rPr>
              <w:t xml:space="preserve"> </w:t>
            </w:r>
            <w:proofErr w:type="spellStart"/>
            <w:r>
              <w:rPr>
                <w:rFonts w:cs="Calibri"/>
                <w:color w:val="000000"/>
              </w:rPr>
              <w:t>Piako</w:t>
            </w:r>
            <w:proofErr w:type="spellEnd"/>
          </w:p>
        </w:tc>
        <w:tc>
          <w:tcPr>
            <w:tcW w:w="1696" w:type="dxa"/>
            <w:shd w:val="clear" w:color="auto" w:fill="auto"/>
            <w:noWrap/>
            <w:vAlign w:val="bottom"/>
            <w:hideMark/>
          </w:tcPr>
          <w:p w:rsidR="00CB6840" w:rsidRDefault="00CB6840" w:rsidP="00CB6840">
            <w:pPr>
              <w:spacing w:after="0"/>
              <w:jc w:val="right"/>
              <w:rPr>
                <w:rFonts w:cs="Calibri"/>
                <w:i/>
                <w:iCs/>
              </w:rPr>
            </w:pPr>
            <w:r>
              <w:rPr>
                <w:rFonts w:cs="Calibri"/>
                <w:i/>
                <w:iCs/>
              </w:rPr>
              <w:t>260,405</w:t>
            </w:r>
          </w:p>
        </w:tc>
        <w:tc>
          <w:tcPr>
            <w:tcW w:w="1180" w:type="dxa"/>
            <w:shd w:val="clear" w:color="auto" w:fill="auto"/>
            <w:noWrap/>
            <w:vAlign w:val="bottom"/>
            <w:hideMark/>
          </w:tcPr>
          <w:p w:rsidR="00CB6840" w:rsidRDefault="00CB6840" w:rsidP="00CB6840">
            <w:pPr>
              <w:spacing w:after="0"/>
              <w:jc w:val="right"/>
              <w:rPr>
                <w:rFonts w:cs="Calibri"/>
                <w:i/>
                <w:iCs/>
              </w:rPr>
            </w:pPr>
            <w:r>
              <w:rPr>
                <w:rFonts w:cs="Calibri"/>
                <w:i/>
                <w:iCs/>
              </w:rPr>
              <w:t>-1.2%</w:t>
            </w:r>
          </w:p>
        </w:tc>
        <w:tc>
          <w:tcPr>
            <w:tcW w:w="1240" w:type="dxa"/>
            <w:shd w:val="clear" w:color="auto" w:fill="auto"/>
            <w:noWrap/>
            <w:vAlign w:val="bottom"/>
            <w:hideMark/>
          </w:tcPr>
          <w:p w:rsidR="00CB6840" w:rsidRDefault="00CB6840" w:rsidP="00CB6840">
            <w:pPr>
              <w:spacing w:after="0"/>
              <w:jc w:val="right"/>
              <w:rPr>
                <w:rFonts w:cs="Calibri"/>
                <w:i/>
                <w:iCs/>
                <w:color w:val="000000"/>
              </w:rPr>
            </w:pPr>
            <w:r>
              <w:rPr>
                <w:rFonts w:cs="Calibri"/>
                <w:i/>
                <w:iCs/>
                <w:color w:val="000000"/>
              </w:rPr>
              <w:t>-1.4%</w:t>
            </w:r>
          </w:p>
        </w:tc>
        <w:tc>
          <w:tcPr>
            <w:tcW w:w="2156" w:type="dxa"/>
            <w:shd w:val="clear" w:color="auto" w:fill="auto"/>
            <w:noWrap/>
            <w:vAlign w:val="bottom"/>
            <w:hideMark/>
          </w:tcPr>
          <w:p w:rsidR="00CB6840" w:rsidRDefault="00CB6840" w:rsidP="00CB6840">
            <w:pPr>
              <w:spacing w:after="0"/>
              <w:jc w:val="right"/>
              <w:rPr>
                <w:rFonts w:cs="Calibri"/>
                <w:i/>
                <w:iCs/>
                <w:color w:val="000000"/>
              </w:rPr>
            </w:pPr>
            <w:r>
              <w:rPr>
                <w:rFonts w:cs="Calibri"/>
                <w:i/>
                <w:iCs/>
                <w:color w:val="000000"/>
              </w:rPr>
              <w:t>-13.0%</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r>
              <w:rPr>
                <w:rFonts w:cs="Calibri"/>
                <w:color w:val="000000"/>
              </w:rPr>
              <w:t>#</w:t>
            </w: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Hamilton</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347,351</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4.3%</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0.9%</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-6.2%</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noWrap/>
            <w:vAlign w:val="bottom"/>
            <w:hideMark/>
          </w:tcPr>
          <w:p w:rsidR="00CB6840" w:rsidRDefault="00CB6840" w:rsidP="00CB6840">
            <w:pPr>
              <w:spacing w:after="0"/>
              <w:ind w:firstLineChars="200" w:firstLine="440"/>
              <w:rPr>
                <w:rFonts w:cs="Calibri"/>
                <w:color w:val="000000"/>
              </w:rPr>
            </w:pPr>
            <w:r>
              <w:rPr>
                <w:rFonts w:cs="Calibri"/>
                <w:color w:val="000000"/>
              </w:rPr>
              <w:t>Hamilton  - North East</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431,705</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4.2%</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1.4%</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-4.0%</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noWrap/>
            <w:vAlign w:val="bottom"/>
            <w:hideMark/>
          </w:tcPr>
          <w:p w:rsidR="00CB6840" w:rsidRDefault="00CB6840" w:rsidP="00CB6840">
            <w:pPr>
              <w:spacing w:after="0"/>
              <w:ind w:firstLineChars="200" w:firstLine="440"/>
              <w:rPr>
                <w:rFonts w:cs="Calibri"/>
                <w:color w:val="000000"/>
              </w:rPr>
            </w:pPr>
            <w:r>
              <w:rPr>
                <w:rFonts w:cs="Calibri"/>
                <w:color w:val="000000"/>
              </w:rPr>
              <w:t>Hamilton - Central &amp; North West</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326,761</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3.9%</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0.9%</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-8.7%</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noWrap/>
            <w:vAlign w:val="bottom"/>
            <w:hideMark/>
          </w:tcPr>
          <w:p w:rsidR="00CB6840" w:rsidRDefault="00CB6840" w:rsidP="00CB6840">
            <w:pPr>
              <w:spacing w:after="0"/>
              <w:ind w:firstLineChars="200" w:firstLine="440"/>
              <w:rPr>
                <w:rFonts w:cs="Calibri"/>
                <w:color w:val="000000"/>
              </w:rPr>
            </w:pPr>
            <w:r>
              <w:rPr>
                <w:rFonts w:cs="Calibri"/>
                <w:color w:val="000000"/>
              </w:rPr>
              <w:t>Hamilton - South East</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323,367</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4.4%</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1.0%</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-7.5%</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noWrap/>
            <w:vAlign w:val="bottom"/>
            <w:hideMark/>
          </w:tcPr>
          <w:p w:rsidR="00CB6840" w:rsidRDefault="00CB6840" w:rsidP="00CB6840">
            <w:pPr>
              <w:spacing w:after="0"/>
              <w:ind w:firstLineChars="200" w:firstLine="440"/>
              <w:rPr>
                <w:rFonts w:cs="Calibri"/>
                <w:color w:val="000000"/>
              </w:rPr>
            </w:pPr>
            <w:r>
              <w:rPr>
                <w:rFonts w:cs="Calibri"/>
                <w:color w:val="000000"/>
              </w:rPr>
              <w:t>Hamilton - South West</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309,419</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3.8%</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-0.5%</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-9.6%</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Waipa</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323,254</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4.7%</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1.3%</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-4.4%</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proofErr w:type="spellStart"/>
            <w:r>
              <w:rPr>
                <w:rFonts w:cs="Calibri"/>
                <w:color w:val="000000"/>
              </w:rPr>
              <w:t>Otorohanga</w:t>
            </w:r>
            <w:proofErr w:type="spellEnd"/>
          </w:p>
        </w:tc>
        <w:tc>
          <w:tcPr>
            <w:tcW w:w="1696" w:type="dxa"/>
            <w:shd w:val="clear" w:color="auto" w:fill="auto"/>
            <w:noWrap/>
            <w:vAlign w:val="bottom"/>
            <w:hideMark/>
          </w:tcPr>
          <w:p w:rsidR="00CB6840" w:rsidRDefault="00CB6840" w:rsidP="00CB6840">
            <w:pPr>
              <w:spacing w:after="0"/>
              <w:jc w:val="right"/>
              <w:rPr>
                <w:rFonts w:cs="Calibri"/>
              </w:rPr>
            </w:pPr>
            <w:r>
              <w:rPr>
                <w:rFonts w:cs="Calibri"/>
              </w:rPr>
              <w:t>N/A</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N/A</w:t>
            </w:r>
          </w:p>
        </w:tc>
        <w:tc>
          <w:tcPr>
            <w:tcW w:w="1240" w:type="dxa"/>
            <w:shd w:val="clear" w:color="auto" w:fill="auto"/>
            <w:noWrap/>
            <w:vAlign w:val="bottom"/>
            <w:hideMark/>
          </w:tcPr>
          <w:p w:rsidR="00CB6840" w:rsidRDefault="00CB6840" w:rsidP="00CB6840">
            <w:pPr>
              <w:spacing w:after="0"/>
              <w:jc w:val="right"/>
              <w:rPr>
                <w:rFonts w:cs="Calibri"/>
              </w:rPr>
            </w:pPr>
            <w:r>
              <w:rPr>
                <w:rFonts w:cs="Calibri"/>
              </w:rPr>
              <w:t>N/A</w:t>
            </w:r>
          </w:p>
        </w:tc>
        <w:tc>
          <w:tcPr>
            <w:tcW w:w="2156" w:type="dxa"/>
            <w:shd w:val="clear" w:color="auto" w:fill="auto"/>
            <w:noWrap/>
            <w:vAlign w:val="bottom"/>
            <w:hideMark/>
          </w:tcPr>
          <w:p w:rsidR="00CB6840" w:rsidRDefault="00CB6840" w:rsidP="00CB6840">
            <w:pPr>
              <w:spacing w:after="0"/>
              <w:jc w:val="right"/>
              <w:rPr>
                <w:rFonts w:cs="Calibri"/>
              </w:rPr>
            </w:pPr>
            <w:r>
              <w:rPr>
                <w:rFonts w:cs="Calibri"/>
              </w:rPr>
              <w:t>N/A</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South Waikato</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130,750</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-0.3%</w:t>
            </w:r>
          </w:p>
        </w:tc>
        <w:tc>
          <w:tcPr>
            <w:tcW w:w="1240" w:type="dxa"/>
            <w:shd w:val="clear" w:color="auto" w:fill="auto"/>
            <w:noWrap/>
            <w:vAlign w:val="bottom"/>
            <w:hideMark/>
          </w:tcPr>
          <w:p w:rsidR="00CB6840" w:rsidRDefault="00CB6840" w:rsidP="00CB6840">
            <w:pPr>
              <w:spacing w:after="0"/>
              <w:jc w:val="right"/>
              <w:rPr>
                <w:rFonts w:cs="Calibri"/>
              </w:rPr>
            </w:pPr>
            <w:r>
              <w:rPr>
                <w:rFonts w:cs="Calibri"/>
              </w:rPr>
              <w:t>0.0%</w:t>
            </w:r>
          </w:p>
        </w:tc>
        <w:tc>
          <w:tcPr>
            <w:tcW w:w="2156" w:type="dxa"/>
            <w:shd w:val="clear" w:color="auto" w:fill="auto"/>
            <w:noWrap/>
            <w:vAlign w:val="bottom"/>
            <w:hideMark/>
          </w:tcPr>
          <w:p w:rsidR="00CB6840" w:rsidRDefault="00CB6840" w:rsidP="00CB6840">
            <w:pPr>
              <w:spacing w:after="0"/>
              <w:jc w:val="right"/>
              <w:rPr>
                <w:rFonts w:cs="Calibri"/>
              </w:rPr>
            </w:pPr>
            <w:r>
              <w:rPr>
                <w:rFonts w:cs="Calibri"/>
              </w:rPr>
              <w:t>-19.9%</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proofErr w:type="spellStart"/>
            <w:r>
              <w:rPr>
                <w:rFonts w:cs="Calibri"/>
                <w:color w:val="000000"/>
              </w:rPr>
              <w:t>Waitomo</w:t>
            </w:r>
            <w:proofErr w:type="spellEnd"/>
          </w:p>
        </w:tc>
        <w:tc>
          <w:tcPr>
            <w:tcW w:w="1696" w:type="dxa"/>
            <w:shd w:val="clear" w:color="auto" w:fill="auto"/>
            <w:noWrap/>
            <w:vAlign w:val="bottom"/>
            <w:hideMark/>
          </w:tcPr>
          <w:p w:rsidR="00CB6840" w:rsidRDefault="00CB6840" w:rsidP="00CB6840">
            <w:pPr>
              <w:spacing w:after="0"/>
              <w:jc w:val="right"/>
              <w:rPr>
                <w:rFonts w:cs="Calibri"/>
                <w:i/>
                <w:iCs/>
              </w:rPr>
            </w:pPr>
            <w:r>
              <w:rPr>
                <w:rFonts w:cs="Calibri"/>
                <w:i/>
                <w:iCs/>
              </w:rPr>
              <w:t>143,957</w:t>
            </w:r>
          </w:p>
        </w:tc>
        <w:tc>
          <w:tcPr>
            <w:tcW w:w="1180" w:type="dxa"/>
            <w:shd w:val="clear" w:color="auto" w:fill="auto"/>
            <w:noWrap/>
            <w:vAlign w:val="bottom"/>
            <w:hideMark/>
          </w:tcPr>
          <w:p w:rsidR="00CB6840" w:rsidRDefault="00CB6840" w:rsidP="00CB6840">
            <w:pPr>
              <w:spacing w:after="0"/>
              <w:jc w:val="right"/>
              <w:rPr>
                <w:rFonts w:cs="Calibri"/>
                <w:i/>
                <w:iCs/>
              </w:rPr>
            </w:pPr>
            <w:r>
              <w:rPr>
                <w:rFonts w:cs="Calibri"/>
                <w:i/>
                <w:iCs/>
              </w:rPr>
              <w:t>0.0%</w:t>
            </w:r>
          </w:p>
        </w:tc>
        <w:tc>
          <w:tcPr>
            <w:tcW w:w="1240" w:type="dxa"/>
            <w:shd w:val="clear" w:color="auto" w:fill="auto"/>
            <w:noWrap/>
            <w:vAlign w:val="bottom"/>
            <w:hideMark/>
          </w:tcPr>
          <w:p w:rsidR="00CB6840" w:rsidRDefault="00CB6840" w:rsidP="00CB6840">
            <w:pPr>
              <w:spacing w:after="0"/>
              <w:jc w:val="right"/>
              <w:rPr>
                <w:rFonts w:cs="Calibri"/>
                <w:i/>
                <w:iCs/>
              </w:rPr>
            </w:pPr>
            <w:r>
              <w:rPr>
                <w:rFonts w:cs="Calibri"/>
                <w:i/>
                <w:iCs/>
              </w:rPr>
              <w:t>-2.6%</w:t>
            </w:r>
          </w:p>
        </w:tc>
        <w:tc>
          <w:tcPr>
            <w:tcW w:w="2156" w:type="dxa"/>
            <w:shd w:val="clear" w:color="auto" w:fill="auto"/>
            <w:noWrap/>
            <w:vAlign w:val="bottom"/>
            <w:hideMark/>
          </w:tcPr>
          <w:p w:rsidR="00CB6840" w:rsidRDefault="00CB6840" w:rsidP="00CB6840">
            <w:pPr>
              <w:spacing w:after="0"/>
              <w:jc w:val="right"/>
              <w:rPr>
                <w:rFonts w:cs="Calibri"/>
                <w:i/>
                <w:iCs/>
              </w:rPr>
            </w:pPr>
            <w:r>
              <w:rPr>
                <w:rFonts w:cs="Calibri"/>
                <w:i/>
                <w:iCs/>
              </w:rPr>
              <w:t>-35.0%</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proofErr w:type="spellStart"/>
            <w:r>
              <w:rPr>
                <w:rFonts w:cs="Calibri"/>
                <w:color w:val="000000"/>
              </w:rPr>
              <w:t>Taupo</w:t>
            </w:r>
            <w:proofErr w:type="spellEnd"/>
          </w:p>
        </w:tc>
        <w:tc>
          <w:tcPr>
            <w:tcW w:w="1696" w:type="dxa"/>
            <w:shd w:val="clear" w:color="auto" w:fill="auto"/>
            <w:noWrap/>
            <w:vAlign w:val="bottom"/>
            <w:hideMark/>
          </w:tcPr>
          <w:p w:rsidR="00CB6840" w:rsidRDefault="00CB6840" w:rsidP="00CB6840">
            <w:pPr>
              <w:spacing w:after="0"/>
              <w:jc w:val="right"/>
              <w:rPr>
                <w:rFonts w:cs="Calibri"/>
              </w:rPr>
            </w:pPr>
            <w:r>
              <w:rPr>
                <w:rFonts w:cs="Calibri"/>
              </w:rPr>
              <w:t>348,201</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-0.4%</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-0.9%</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-14.1%</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Western BOP</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385,975</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-1.5%</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-4.9%</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-15.2%</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r>
              <w:rPr>
                <w:rFonts w:cs="Calibri"/>
                <w:color w:val="000000"/>
              </w:rPr>
              <w:t>#</w:t>
            </w: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Tauranga</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428,583</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-0.2%</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0.5%</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-10.8%</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Rotorua</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269,558</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0.6%</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0.1%</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-13.2%</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proofErr w:type="spellStart"/>
            <w:r>
              <w:rPr>
                <w:rFonts w:cs="Calibri"/>
                <w:color w:val="000000"/>
              </w:rPr>
              <w:t>Whakatane</w:t>
            </w:r>
            <w:proofErr w:type="spellEnd"/>
          </w:p>
        </w:tc>
        <w:tc>
          <w:tcPr>
            <w:tcW w:w="1696" w:type="dxa"/>
            <w:shd w:val="clear" w:color="auto" w:fill="auto"/>
            <w:noWrap/>
            <w:vAlign w:val="bottom"/>
            <w:hideMark/>
          </w:tcPr>
          <w:p w:rsidR="00CB6840" w:rsidRDefault="00CB6840" w:rsidP="00CB6840">
            <w:pPr>
              <w:spacing w:after="0"/>
              <w:jc w:val="right"/>
              <w:rPr>
                <w:rFonts w:cs="Calibri"/>
              </w:rPr>
            </w:pPr>
            <w:r>
              <w:rPr>
                <w:rFonts w:cs="Calibri"/>
              </w:rPr>
              <w:t>293,590</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-1.1%</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0.8%</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-15.4%</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proofErr w:type="spellStart"/>
            <w:r>
              <w:rPr>
                <w:rFonts w:cs="Calibri"/>
                <w:color w:val="000000"/>
              </w:rPr>
              <w:t>Kawerau</w:t>
            </w:r>
            <w:proofErr w:type="spellEnd"/>
          </w:p>
        </w:tc>
        <w:tc>
          <w:tcPr>
            <w:tcW w:w="1696" w:type="dxa"/>
            <w:shd w:val="clear" w:color="auto" w:fill="auto"/>
            <w:noWrap/>
            <w:vAlign w:val="bottom"/>
            <w:hideMark/>
          </w:tcPr>
          <w:p w:rsidR="00CB6840" w:rsidRDefault="00CB6840" w:rsidP="00CB6840">
            <w:pPr>
              <w:spacing w:after="0"/>
              <w:jc w:val="right"/>
              <w:rPr>
                <w:rFonts w:cs="Calibri"/>
              </w:rPr>
            </w:pPr>
            <w:r>
              <w:rPr>
                <w:rFonts w:cs="Calibri"/>
              </w:rPr>
              <w:t>N/A</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N/A</w:t>
            </w:r>
          </w:p>
        </w:tc>
        <w:tc>
          <w:tcPr>
            <w:tcW w:w="1240" w:type="dxa"/>
            <w:shd w:val="clear" w:color="auto" w:fill="auto"/>
            <w:noWrap/>
            <w:vAlign w:val="bottom"/>
            <w:hideMark/>
          </w:tcPr>
          <w:p w:rsidR="00CB6840" w:rsidRDefault="00CB6840" w:rsidP="00CB6840">
            <w:pPr>
              <w:spacing w:after="0"/>
              <w:jc w:val="right"/>
              <w:rPr>
                <w:rFonts w:cs="Calibri"/>
              </w:rPr>
            </w:pPr>
            <w:r>
              <w:rPr>
                <w:rFonts w:cs="Calibri"/>
              </w:rPr>
              <w:t>N/A</w:t>
            </w:r>
          </w:p>
        </w:tc>
        <w:tc>
          <w:tcPr>
            <w:tcW w:w="2156" w:type="dxa"/>
            <w:shd w:val="clear" w:color="auto" w:fill="auto"/>
            <w:noWrap/>
            <w:vAlign w:val="bottom"/>
            <w:hideMark/>
          </w:tcPr>
          <w:p w:rsidR="00CB6840" w:rsidRDefault="00CB6840" w:rsidP="00CB6840">
            <w:pPr>
              <w:spacing w:after="0"/>
              <w:jc w:val="right"/>
              <w:rPr>
                <w:rFonts w:cs="Calibri"/>
              </w:rPr>
            </w:pPr>
            <w:r>
              <w:rPr>
                <w:rFonts w:cs="Calibri"/>
              </w:rPr>
              <w:t>N/A</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proofErr w:type="spellStart"/>
            <w:r>
              <w:rPr>
                <w:rFonts w:cs="Calibri"/>
                <w:color w:val="000000"/>
              </w:rPr>
              <w:t>Opotiki</w:t>
            </w:r>
            <w:proofErr w:type="spellEnd"/>
          </w:p>
        </w:tc>
        <w:tc>
          <w:tcPr>
            <w:tcW w:w="1696" w:type="dxa"/>
            <w:shd w:val="clear" w:color="auto" w:fill="auto"/>
            <w:noWrap/>
            <w:vAlign w:val="bottom"/>
            <w:hideMark/>
          </w:tcPr>
          <w:p w:rsidR="00CB6840" w:rsidRDefault="00CB6840" w:rsidP="00CB6840">
            <w:pPr>
              <w:spacing w:after="0"/>
              <w:jc w:val="right"/>
              <w:rPr>
                <w:rFonts w:cs="Calibri"/>
                <w:i/>
                <w:iCs/>
              </w:rPr>
            </w:pPr>
            <w:r>
              <w:rPr>
                <w:rFonts w:cs="Calibri"/>
                <w:i/>
                <w:iCs/>
              </w:rPr>
              <w:t>209,660</w:t>
            </w:r>
          </w:p>
        </w:tc>
        <w:tc>
          <w:tcPr>
            <w:tcW w:w="1180" w:type="dxa"/>
            <w:shd w:val="clear" w:color="auto" w:fill="auto"/>
            <w:noWrap/>
            <w:vAlign w:val="bottom"/>
            <w:hideMark/>
          </w:tcPr>
          <w:p w:rsidR="00CB6840" w:rsidRDefault="00CB6840" w:rsidP="00CB6840">
            <w:pPr>
              <w:spacing w:after="0"/>
              <w:jc w:val="right"/>
              <w:rPr>
                <w:rFonts w:cs="Calibri"/>
                <w:i/>
                <w:iCs/>
              </w:rPr>
            </w:pPr>
            <w:r>
              <w:rPr>
                <w:rFonts w:cs="Calibri"/>
                <w:i/>
                <w:iCs/>
              </w:rPr>
              <w:t>-0.2%</w:t>
            </w:r>
          </w:p>
        </w:tc>
        <w:tc>
          <w:tcPr>
            <w:tcW w:w="1240" w:type="dxa"/>
            <w:shd w:val="clear" w:color="auto" w:fill="auto"/>
            <w:noWrap/>
            <w:vAlign w:val="bottom"/>
            <w:hideMark/>
          </w:tcPr>
          <w:p w:rsidR="00CB6840" w:rsidRDefault="00CB6840" w:rsidP="00CB6840">
            <w:pPr>
              <w:spacing w:after="0"/>
              <w:jc w:val="right"/>
              <w:rPr>
                <w:rFonts w:cs="Calibri"/>
                <w:i/>
                <w:iCs/>
              </w:rPr>
            </w:pPr>
            <w:r>
              <w:rPr>
                <w:rFonts w:cs="Calibri"/>
                <w:i/>
                <w:iCs/>
              </w:rPr>
              <w:t>-0.1%</w:t>
            </w:r>
          </w:p>
        </w:tc>
        <w:tc>
          <w:tcPr>
            <w:tcW w:w="2156" w:type="dxa"/>
            <w:shd w:val="clear" w:color="auto" w:fill="auto"/>
            <w:noWrap/>
            <w:vAlign w:val="bottom"/>
            <w:hideMark/>
          </w:tcPr>
          <w:p w:rsidR="00CB6840" w:rsidRDefault="00CB6840" w:rsidP="00CB6840">
            <w:pPr>
              <w:spacing w:after="0"/>
              <w:jc w:val="right"/>
              <w:rPr>
                <w:rFonts w:cs="Calibri"/>
                <w:i/>
                <w:iCs/>
              </w:rPr>
            </w:pPr>
            <w:r>
              <w:rPr>
                <w:rFonts w:cs="Calibri"/>
                <w:i/>
                <w:iCs/>
              </w:rPr>
              <w:t>-25.4%</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proofErr w:type="spellStart"/>
            <w:r>
              <w:rPr>
                <w:rFonts w:cs="Calibri"/>
                <w:color w:val="000000"/>
              </w:rPr>
              <w:t>Gisborne</w:t>
            </w:r>
            <w:proofErr w:type="spellEnd"/>
          </w:p>
        </w:tc>
        <w:tc>
          <w:tcPr>
            <w:tcW w:w="1696" w:type="dxa"/>
            <w:shd w:val="clear" w:color="auto" w:fill="auto"/>
            <w:noWrap/>
            <w:vAlign w:val="bottom"/>
            <w:hideMark/>
          </w:tcPr>
          <w:p w:rsidR="00CB6840" w:rsidRDefault="00CB6840" w:rsidP="00CB6840">
            <w:pPr>
              <w:spacing w:after="0"/>
              <w:jc w:val="right"/>
              <w:rPr>
                <w:rFonts w:cs="Calibri"/>
              </w:rPr>
            </w:pPr>
            <w:r>
              <w:rPr>
                <w:rFonts w:cs="Calibri"/>
              </w:rPr>
              <w:t>228,571</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0.4%</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1.4%</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-24.4%</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proofErr w:type="spellStart"/>
            <w:r>
              <w:rPr>
                <w:rFonts w:cs="Calibri"/>
                <w:color w:val="000000"/>
              </w:rPr>
              <w:t>Wairoa</w:t>
            </w:r>
            <w:proofErr w:type="spellEnd"/>
          </w:p>
        </w:tc>
        <w:tc>
          <w:tcPr>
            <w:tcW w:w="1696" w:type="dxa"/>
            <w:shd w:val="clear" w:color="auto" w:fill="auto"/>
            <w:noWrap/>
            <w:vAlign w:val="bottom"/>
            <w:hideMark/>
          </w:tcPr>
          <w:p w:rsidR="00CB6840" w:rsidRDefault="00CB6840" w:rsidP="00CB6840">
            <w:pPr>
              <w:spacing w:after="0"/>
              <w:jc w:val="right"/>
              <w:rPr>
                <w:rFonts w:cs="Calibri"/>
              </w:rPr>
            </w:pPr>
            <w:r>
              <w:rPr>
                <w:rFonts w:cs="Calibri"/>
              </w:rPr>
              <w:t>N/A</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N/A</w:t>
            </w:r>
          </w:p>
        </w:tc>
        <w:tc>
          <w:tcPr>
            <w:tcW w:w="1240" w:type="dxa"/>
            <w:shd w:val="clear" w:color="auto" w:fill="auto"/>
            <w:noWrap/>
            <w:vAlign w:val="bottom"/>
            <w:hideMark/>
          </w:tcPr>
          <w:p w:rsidR="00CB6840" w:rsidRDefault="00CB6840" w:rsidP="00CB6840">
            <w:pPr>
              <w:spacing w:after="0"/>
              <w:jc w:val="right"/>
              <w:rPr>
                <w:rFonts w:cs="Calibri"/>
              </w:rPr>
            </w:pPr>
            <w:r>
              <w:rPr>
                <w:rFonts w:cs="Calibri"/>
              </w:rPr>
              <w:t>N/A</w:t>
            </w:r>
          </w:p>
        </w:tc>
        <w:tc>
          <w:tcPr>
            <w:tcW w:w="2156" w:type="dxa"/>
            <w:shd w:val="clear" w:color="auto" w:fill="auto"/>
            <w:noWrap/>
            <w:vAlign w:val="bottom"/>
            <w:hideMark/>
          </w:tcPr>
          <w:p w:rsidR="00CB6840" w:rsidRDefault="00CB6840" w:rsidP="00CB6840">
            <w:pPr>
              <w:spacing w:after="0"/>
              <w:jc w:val="right"/>
              <w:rPr>
                <w:rFonts w:cs="Calibri"/>
              </w:rPr>
            </w:pPr>
            <w:r>
              <w:rPr>
                <w:rFonts w:cs="Calibri"/>
              </w:rPr>
              <w:t>N/A</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Hastings</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300,032</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3.3%</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1.7%</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-4.5%</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r>
              <w:rPr>
                <w:rFonts w:cs="Calibri"/>
                <w:color w:val="000000"/>
              </w:rPr>
              <w:t>#</w:t>
            </w: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Napier</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322,685</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3.1%</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0.7%</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-5.5%</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 xml:space="preserve">Central </w:t>
            </w:r>
            <w:proofErr w:type="spellStart"/>
            <w:r>
              <w:rPr>
                <w:rFonts w:cs="Calibri"/>
                <w:color w:val="000000"/>
              </w:rPr>
              <w:t>Hawkes</w:t>
            </w:r>
            <w:proofErr w:type="spellEnd"/>
            <w:r>
              <w:rPr>
                <w:rFonts w:cs="Calibri"/>
                <w:color w:val="000000"/>
              </w:rPr>
              <w:t xml:space="preserve"> Bay</w:t>
            </w:r>
          </w:p>
        </w:tc>
        <w:tc>
          <w:tcPr>
            <w:tcW w:w="1696" w:type="dxa"/>
            <w:shd w:val="clear" w:color="auto" w:fill="auto"/>
            <w:noWrap/>
            <w:vAlign w:val="bottom"/>
            <w:hideMark/>
          </w:tcPr>
          <w:p w:rsidR="00CB6840" w:rsidRDefault="00CB6840" w:rsidP="00CB6840">
            <w:pPr>
              <w:spacing w:after="0"/>
              <w:jc w:val="right"/>
              <w:rPr>
                <w:rFonts w:cs="Calibri"/>
                <w:i/>
                <w:iCs/>
              </w:rPr>
            </w:pPr>
            <w:r>
              <w:rPr>
                <w:rFonts w:cs="Calibri"/>
                <w:i/>
                <w:iCs/>
              </w:rPr>
              <w:t>205,740</w:t>
            </w:r>
          </w:p>
        </w:tc>
        <w:tc>
          <w:tcPr>
            <w:tcW w:w="1180" w:type="dxa"/>
            <w:shd w:val="clear" w:color="auto" w:fill="auto"/>
            <w:noWrap/>
            <w:vAlign w:val="bottom"/>
            <w:hideMark/>
          </w:tcPr>
          <w:p w:rsidR="00CB6840" w:rsidRDefault="00CB6840" w:rsidP="00CB6840">
            <w:pPr>
              <w:spacing w:after="0"/>
              <w:jc w:val="right"/>
              <w:rPr>
                <w:rFonts w:cs="Calibri"/>
                <w:i/>
                <w:iCs/>
              </w:rPr>
            </w:pPr>
            <w:r>
              <w:rPr>
                <w:rFonts w:cs="Calibri"/>
                <w:i/>
                <w:iCs/>
              </w:rPr>
              <w:t>-6.1%</w:t>
            </w:r>
          </w:p>
        </w:tc>
        <w:tc>
          <w:tcPr>
            <w:tcW w:w="1240" w:type="dxa"/>
            <w:shd w:val="clear" w:color="auto" w:fill="auto"/>
            <w:noWrap/>
            <w:vAlign w:val="bottom"/>
            <w:hideMark/>
          </w:tcPr>
          <w:p w:rsidR="00CB6840" w:rsidRDefault="00CB6840" w:rsidP="00CB6840">
            <w:pPr>
              <w:spacing w:after="0"/>
              <w:jc w:val="right"/>
              <w:rPr>
                <w:rFonts w:cs="Calibri"/>
                <w:i/>
                <w:iCs/>
              </w:rPr>
            </w:pPr>
            <w:r>
              <w:rPr>
                <w:rFonts w:cs="Calibri"/>
                <w:i/>
                <w:iCs/>
              </w:rPr>
              <w:t>-5.1%</w:t>
            </w:r>
          </w:p>
        </w:tc>
        <w:tc>
          <w:tcPr>
            <w:tcW w:w="2156" w:type="dxa"/>
            <w:shd w:val="clear" w:color="auto" w:fill="auto"/>
            <w:noWrap/>
            <w:vAlign w:val="bottom"/>
            <w:hideMark/>
          </w:tcPr>
          <w:p w:rsidR="00CB6840" w:rsidRDefault="00CB6840" w:rsidP="00CB6840">
            <w:pPr>
              <w:spacing w:after="0"/>
              <w:jc w:val="right"/>
              <w:rPr>
                <w:rFonts w:cs="Calibri"/>
                <w:i/>
                <w:iCs/>
              </w:rPr>
            </w:pPr>
            <w:r>
              <w:rPr>
                <w:rFonts w:cs="Calibri"/>
                <w:i/>
                <w:iCs/>
              </w:rPr>
              <w:t>-23.2%</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New Plymouth</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334,101</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4.6%</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1.9%</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-0.1%</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Stratford</w:t>
            </w:r>
          </w:p>
        </w:tc>
        <w:tc>
          <w:tcPr>
            <w:tcW w:w="1696" w:type="dxa"/>
            <w:shd w:val="clear" w:color="auto" w:fill="auto"/>
            <w:noWrap/>
            <w:vAlign w:val="bottom"/>
            <w:hideMark/>
          </w:tcPr>
          <w:p w:rsidR="00CB6840" w:rsidRDefault="00CB6840" w:rsidP="00CB6840">
            <w:pPr>
              <w:spacing w:after="0"/>
              <w:jc w:val="right"/>
              <w:rPr>
                <w:rFonts w:cs="Calibri"/>
                <w:i/>
                <w:iCs/>
              </w:rPr>
            </w:pPr>
            <w:r>
              <w:rPr>
                <w:rFonts w:cs="Calibri"/>
                <w:i/>
                <w:iCs/>
              </w:rPr>
              <w:t>198,710</w:t>
            </w:r>
          </w:p>
        </w:tc>
        <w:tc>
          <w:tcPr>
            <w:tcW w:w="1180" w:type="dxa"/>
            <w:shd w:val="clear" w:color="auto" w:fill="auto"/>
            <w:noWrap/>
            <w:vAlign w:val="bottom"/>
            <w:hideMark/>
          </w:tcPr>
          <w:p w:rsidR="00CB6840" w:rsidRDefault="00CB6840" w:rsidP="00CB6840">
            <w:pPr>
              <w:spacing w:after="0"/>
              <w:jc w:val="right"/>
              <w:rPr>
                <w:rFonts w:cs="Calibri"/>
                <w:i/>
                <w:iCs/>
              </w:rPr>
            </w:pPr>
            <w:r>
              <w:rPr>
                <w:rFonts w:cs="Calibri"/>
                <w:i/>
                <w:iCs/>
              </w:rPr>
              <w:t>4.8%</w:t>
            </w:r>
          </w:p>
        </w:tc>
        <w:tc>
          <w:tcPr>
            <w:tcW w:w="1240" w:type="dxa"/>
            <w:shd w:val="clear" w:color="auto" w:fill="auto"/>
            <w:noWrap/>
            <w:vAlign w:val="bottom"/>
            <w:hideMark/>
          </w:tcPr>
          <w:p w:rsidR="00CB6840" w:rsidRDefault="00CB6840" w:rsidP="00CB6840">
            <w:pPr>
              <w:spacing w:after="0"/>
              <w:jc w:val="right"/>
              <w:rPr>
                <w:rFonts w:cs="Calibri"/>
                <w:i/>
                <w:iCs/>
              </w:rPr>
            </w:pPr>
            <w:r>
              <w:rPr>
                <w:rFonts w:cs="Calibri"/>
                <w:i/>
                <w:iCs/>
              </w:rPr>
              <w:t>2.4%</w:t>
            </w:r>
          </w:p>
        </w:tc>
        <w:tc>
          <w:tcPr>
            <w:tcW w:w="2156" w:type="dxa"/>
            <w:shd w:val="clear" w:color="auto" w:fill="auto"/>
            <w:noWrap/>
            <w:vAlign w:val="bottom"/>
            <w:hideMark/>
          </w:tcPr>
          <w:p w:rsidR="00CB6840" w:rsidRDefault="00CB6840" w:rsidP="00CB6840">
            <w:pPr>
              <w:spacing w:after="0"/>
              <w:jc w:val="right"/>
              <w:rPr>
                <w:rFonts w:cs="Calibri"/>
                <w:i/>
                <w:iCs/>
              </w:rPr>
            </w:pPr>
            <w:r>
              <w:rPr>
                <w:rFonts w:cs="Calibri"/>
                <w:i/>
                <w:iCs/>
              </w:rPr>
              <w:t>-8.6%</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South Taranaki</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179,448</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-3.3%</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0.0%</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-9.6%</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proofErr w:type="spellStart"/>
            <w:r>
              <w:rPr>
                <w:rFonts w:cs="Calibri"/>
                <w:color w:val="000000"/>
              </w:rPr>
              <w:t>Ruapehu</w:t>
            </w:r>
            <w:proofErr w:type="spellEnd"/>
          </w:p>
        </w:tc>
        <w:tc>
          <w:tcPr>
            <w:tcW w:w="1696" w:type="dxa"/>
            <w:shd w:val="clear" w:color="auto" w:fill="auto"/>
            <w:noWrap/>
            <w:vAlign w:val="bottom"/>
            <w:hideMark/>
          </w:tcPr>
          <w:p w:rsidR="00CB6840" w:rsidRDefault="00CB6840" w:rsidP="00CB6840">
            <w:pPr>
              <w:spacing w:after="0"/>
              <w:jc w:val="right"/>
              <w:rPr>
                <w:rFonts w:cs="Calibri"/>
                <w:i/>
                <w:iCs/>
              </w:rPr>
            </w:pPr>
            <w:r>
              <w:rPr>
                <w:rFonts w:cs="Calibri"/>
                <w:i/>
                <w:iCs/>
              </w:rPr>
              <w:t>133,800</w:t>
            </w:r>
          </w:p>
        </w:tc>
        <w:tc>
          <w:tcPr>
            <w:tcW w:w="1180" w:type="dxa"/>
            <w:shd w:val="clear" w:color="auto" w:fill="auto"/>
            <w:noWrap/>
            <w:vAlign w:val="bottom"/>
            <w:hideMark/>
          </w:tcPr>
          <w:p w:rsidR="00CB6840" w:rsidRDefault="00CB6840" w:rsidP="00CB6840">
            <w:pPr>
              <w:spacing w:after="0"/>
              <w:jc w:val="right"/>
              <w:rPr>
                <w:rFonts w:cs="Calibri"/>
                <w:i/>
                <w:iCs/>
              </w:rPr>
            </w:pPr>
            <w:r>
              <w:rPr>
                <w:rFonts w:cs="Calibri"/>
                <w:i/>
                <w:iCs/>
              </w:rPr>
              <w:t>-10.7%</w:t>
            </w:r>
          </w:p>
        </w:tc>
        <w:tc>
          <w:tcPr>
            <w:tcW w:w="1240" w:type="dxa"/>
            <w:shd w:val="clear" w:color="auto" w:fill="auto"/>
            <w:noWrap/>
            <w:vAlign w:val="bottom"/>
            <w:hideMark/>
          </w:tcPr>
          <w:p w:rsidR="00CB6840" w:rsidRDefault="00CB6840" w:rsidP="00CB6840">
            <w:pPr>
              <w:spacing w:after="0"/>
              <w:jc w:val="right"/>
              <w:rPr>
                <w:rFonts w:cs="Calibri"/>
                <w:i/>
                <w:iCs/>
              </w:rPr>
            </w:pPr>
            <w:r>
              <w:rPr>
                <w:rFonts w:cs="Calibri"/>
                <w:i/>
                <w:iCs/>
              </w:rPr>
              <w:t>-5.7%</w:t>
            </w:r>
          </w:p>
        </w:tc>
        <w:tc>
          <w:tcPr>
            <w:tcW w:w="2156" w:type="dxa"/>
            <w:shd w:val="clear" w:color="auto" w:fill="auto"/>
            <w:noWrap/>
            <w:vAlign w:val="bottom"/>
            <w:hideMark/>
          </w:tcPr>
          <w:p w:rsidR="00CB6840" w:rsidRDefault="00CB6840" w:rsidP="00CB6840">
            <w:pPr>
              <w:spacing w:after="0"/>
              <w:jc w:val="right"/>
              <w:rPr>
                <w:rFonts w:cs="Calibri"/>
                <w:i/>
                <w:iCs/>
              </w:rPr>
            </w:pPr>
            <w:r>
              <w:rPr>
                <w:rFonts w:cs="Calibri"/>
                <w:i/>
                <w:iCs/>
              </w:rPr>
              <w:t>-26.3%</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Wanganui</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191,430</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0.1%</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-0.2%</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-12.7%</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Rangitikei</w:t>
            </w:r>
          </w:p>
        </w:tc>
        <w:tc>
          <w:tcPr>
            <w:tcW w:w="1696" w:type="dxa"/>
            <w:shd w:val="clear" w:color="auto" w:fill="auto"/>
            <w:noWrap/>
            <w:vAlign w:val="bottom"/>
            <w:hideMark/>
          </w:tcPr>
          <w:p w:rsidR="00CB6840" w:rsidRDefault="00CB6840" w:rsidP="00CB6840">
            <w:pPr>
              <w:spacing w:after="0"/>
              <w:jc w:val="right"/>
              <w:rPr>
                <w:rFonts w:cs="Calibri"/>
                <w:i/>
                <w:iCs/>
              </w:rPr>
            </w:pPr>
            <w:r>
              <w:rPr>
                <w:rFonts w:cs="Calibri"/>
                <w:i/>
                <w:iCs/>
              </w:rPr>
              <w:t>148,551</w:t>
            </w:r>
          </w:p>
        </w:tc>
        <w:tc>
          <w:tcPr>
            <w:tcW w:w="1180" w:type="dxa"/>
            <w:shd w:val="clear" w:color="auto" w:fill="auto"/>
            <w:noWrap/>
            <w:vAlign w:val="bottom"/>
            <w:hideMark/>
          </w:tcPr>
          <w:p w:rsidR="00CB6840" w:rsidRDefault="00CB6840" w:rsidP="00CB6840">
            <w:pPr>
              <w:spacing w:after="0"/>
              <w:jc w:val="right"/>
              <w:rPr>
                <w:rFonts w:cs="Calibri"/>
                <w:i/>
                <w:iCs/>
              </w:rPr>
            </w:pPr>
            <w:r>
              <w:rPr>
                <w:rFonts w:cs="Calibri"/>
                <w:i/>
                <w:iCs/>
              </w:rPr>
              <w:t>1.8%</w:t>
            </w:r>
          </w:p>
        </w:tc>
        <w:tc>
          <w:tcPr>
            <w:tcW w:w="1240" w:type="dxa"/>
            <w:shd w:val="clear" w:color="auto" w:fill="auto"/>
            <w:noWrap/>
            <w:vAlign w:val="bottom"/>
            <w:hideMark/>
          </w:tcPr>
          <w:p w:rsidR="00CB6840" w:rsidRDefault="00CB6840" w:rsidP="00CB6840">
            <w:pPr>
              <w:spacing w:after="0"/>
              <w:jc w:val="right"/>
              <w:rPr>
                <w:rFonts w:cs="Calibri"/>
                <w:i/>
                <w:iCs/>
              </w:rPr>
            </w:pPr>
            <w:r>
              <w:rPr>
                <w:rFonts w:cs="Calibri"/>
                <w:i/>
                <w:iCs/>
              </w:rPr>
              <w:t>-1.1%</w:t>
            </w:r>
          </w:p>
        </w:tc>
        <w:tc>
          <w:tcPr>
            <w:tcW w:w="2156" w:type="dxa"/>
            <w:shd w:val="clear" w:color="auto" w:fill="auto"/>
            <w:noWrap/>
            <w:vAlign w:val="bottom"/>
            <w:hideMark/>
          </w:tcPr>
          <w:p w:rsidR="00CB6840" w:rsidRDefault="00CB6840" w:rsidP="00CB6840">
            <w:pPr>
              <w:spacing w:after="0"/>
              <w:jc w:val="right"/>
              <w:rPr>
                <w:rFonts w:cs="Calibri"/>
                <w:i/>
                <w:iCs/>
              </w:rPr>
            </w:pPr>
            <w:r>
              <w:rPr>
                <w:rFonts w:cs="Calibri"/>
                <w:i/>
                <w:iCs/>
              </w:rPr>
              <w:t>-17.3%</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proofErr w:type="spellStart"/>
            <w:r>
              <w:rPr>
                <w:rFonts w:cs="Calibri"/>
                <w:color w:val="000000"/>
              </w:rPr>
              <w:t>Manawatu</w:t>
            </w:r>
            <w:proofErr w:type="spellEnd"/>
          </w:p>
        </w:tc>
        <w:tc>
          <w:tcPr>
            <w:tcW w:w="1696" w:type="dxa"/>
            <w:shd w:val="clear" w:color="auto" w:fill="auto"/>
            <w:noWrap/>
            <w:vAlign w:val="bottom"/>
            <w:hideMark/>
          </w:tcPr>
          <w:p w:rsidR="00CB6840" w:rsidRDefault="00CB6840" w:rsidP="00CB6840">
            <w:pPr>
              <w:spacing w:after="0"/>
              <w:jc w:val="right"/>
              <w:rPr>
                <w:rFonts w:cs="Calibri"/>
              </w:rPr>
            </w:pPr>
            <w:r>
              <w:rPr>
                <w:rFonts w:cs="Calibri"/>
              </w:rPr>
              <w:t>234,717</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0.5%</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-1.3%</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-7.6%</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r>
              <w:rPr>
                <w:rFonts w:cs="Calibri"/>
                <w:color w:val="000000"/>
              </w:rPr>
              <w:t>#</w:t>
            </w: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Palmerston North</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284,808</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2.3%</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0.4%</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-5.2%</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proofErr w:type="spellStart"/>
            <w:r>
              <w:rPr>
                <w:rFonts w:cs="Calibri"/>
                <w:color w:val="000000"/>
              </w:rPr>
              <w:t>Tararua</w:t>
            </w:r>
            <w:proofErr w:type="spellEnd"/>
          </w:p>
        </w:tc>
        <w:tc>
          <w:tcPr>
            <w:tcW w:w="1696" w:type="dxa"/>
            <w:shd w:val="clear" w:color="auto" w:fill="auto"/>
            <w:noWrap/>
            <w:vAlign w:val="bottom"/>
            <w:hideMark/>
          </w:tcPr>
          <w:p w:rsidR="00CB6840" w:rsidRDefault="00CB6840" w:rsidP="00CB6840">
            <w:pPr>
              <w:spacing w:after="0"/>
              <w:jc w:val="right"/>
              <w:rPr>
                <w:rFonts w:cs="Calibri"/>
                <w:i/>
                <w:iCs/>
              </w:rPr>
            </w:pPr>
            <w:r>
              <w:rPr>
                <w:rFonts w:cs="Calibri"/>
                <w:i/>
                <w:iCs/>
              </w:rPr>
              <w:t>153,073</w:t>
            </w:r>
          </w:p>
        </w:tc>
        <w:tc>
          <w:tcPr>
            <w:tcW w:w="1180" w:type="dxa"/>
            <w:shd w:val="clear" w:color="auto" w:fill="auto"/>
            <w:noWrap/>
            <w:vAlign w:val="bottom"/>
            <w:hideMark/>
          </w:tcPr>
          <w:p w:rsidR="00CB6840" w:rsidRDefault="00CB6840" w:rsidP="00CB6840">
            <w:pPr>
              <w:spacing w:after="0"/>
              <w:jc w:val="right"/>
              <w:rPr>
                <w:rFonts w:cs="Calibri"/>
                <w:i/>
                <w:iCs/>
              </w:rPr>
            </w:pPr>
            <w:r>
              <w:rPr>
                <w:rFonts w:cs="Calibri"/>
                <w:i/>
                <w:iCs/>
              </w:rPr>
              <w:t>-1.0%</w:t>
            </w:r>
          </w:p>
        </w:tc>
        <w:tc>
          <w:tcPr>
            <w:tcW w:w="1240" w:type="dxa"/>
            <w:shd w:val="clear" w:color="auto" w:fill="auto"/>
            <w:noWrap/>
            <w:vAlign w:val="bottom"/>
            <w:hideMark/>
          </w:tcPr>
          <w:p w:rsidR="00CB6840" w:rsidRDefault="00CB6840" w:rsidP="00CB6840">
            <w:pPr>
              <w:spacing w:after="0"/>
              <w:jc w:val="right"/>
              <w:rPr>
                <w:rFonts w:cs="Calibri"/>
                <w:i/>
                <w:iCs/>
              </w:rPr>
            </w:pPr>
            <w:r>
              <w:rPr>
                <w:rFonts w:cs="Calibri"/>
                <w:i/>
                <w:iCs/>
              </w:rPr>
              <w:t>-1.5%</w:t>
            </w:r>
          </w:p>
        </w:tc>
        <w:tc>
          <w:tcPr>
            <w:tcW w:w="2156" w:type="dxa"/>
            <w:shd w:val="clear" w:color="auto" w:fill="auto"/>
            <w:noWrap/>
            <w:vAlign w:val="bottom"/>
            <w:hideMark/>
          </w:tcPr>
          <w:p w:rsidR="00CB6840" w:rsidRDefault="00CB6840" w:rsidP="00CB6840">
            <w:pPr>
              <w:spacing w:after="0"/>
              <w:jc w:val="right"/>
              <w:rPr>
                <w:rFonts w:cs="Calibri"/>
                <w:i/>
                <w:iCs/>
              </w:rPr>
            </w:pPr>
            <w:r>
              <w:rPr>
                <w:rFonts w:cs="Calibri"/>
                <w:i/>
                <w:iCs/>
              </w:rPr>
              <w:t>-12.2%</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proofErr w:type="spellStart"/>
            <w:r>
              <w:rPr>
                <w:rFonts w:cs="Calibri"/>
                <w:color w:val="000000"/>
              </w:rPr>
              <w:t>Horowhenua</w:t>
            </w:r>
            <w:proofErr w:type="spellEnd"/>
          </w:p>
        </w:tc>
        <w:tc>
          <w:tcPr>
            <w:tcW w:w="1696" w:type="dxa"/>
            <w:shd w:val="clear" w:color="auto" w:fill="auto"/>
            <w:noWrap/>
            <w:vAlign w:val="bottom"/>
            <w:hideMark/>
          </w:tcPr>
          <w:p w:rsidR="00CB6840" w:rsidRDefault="00CB6840" w:rsidP="00CB6840">
            <w:pPr>
              <w:spacing w:after="0"/>
              <w:jc w:val="right"/>
              <w:rPr>
                <w:rFonts w:cs="Calibri"/>
              </w:rPr>
            </w:pPr>
            <w:r>
              <w:rPr>
                <w:rFonts w:cs="Calibri"/>
              </w:rPr>
              <w:t>199,738</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0.2%</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0.8%</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-16.5%</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proofErr w:type="spellStart"/>
            <w:r>
              <w:rPr>
                <w:rFonts w:cs="Calibri"/>
                <w:color w:val="000000"/>
              </w:rPr>
              <w:t>Kapiti</w:t>
            </w:r>
            <w:proofErr w:type="spellEnd"/>
            <w:r>
              <w:rPr>
                <w:rFonts w:cs="Calibri"/>
                <w:color w:val="000000"/>
              </w:rPr>
              <w:t xml:space="preserve"> Coast</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362,232</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0.8%</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-0.2%</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-5.6%</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r>
              <w:rPr>
                <w:rFonts w:cs="Calibri"/>
                <w:color w:val="000000"/>
              </w:rPr>
              <w:t>#W</w:t>
            </w: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Porirua</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377,608</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4.2%</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2.5%</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-1.4%</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r>
              <w:rPr>
                <w:rFonts w:cs="Calibri"/>
                <w:color w:val="000000"/>
              </w:rPr>
              <w:t>#W</w:t>
            </w: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Upper Hutt</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332,547</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2.0%</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1.0%</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-6.4%</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r>
              <w:rPr>
                <w:rFonts w:cs="Calibri"/>
                <w:color w:val="000000"/>
              </w:rPr>
              <w:t>#W</w:t>
            </w: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Hutt</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367,342</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2.2%</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1.2%</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-7.5%</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r>
              <w:rPr>
                <w:rFonts w:cs="Calibri"/>
                <w:color w:val="000000"/>
              </w:rPr>
              <w:t>#W</w:t>
            </w: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Wellington</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524,558</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2.8%</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0.4%</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-2.4%</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noWrap/>
            <w:vAlign w:val="bottom"/>
            <w:hideMark/>
          </w:tcPr>
          <w:p w:rsidR="00CB6840" w:rsidRDefault="00CB6840" w:rsidP="00CB6840">
            <w:pPr>
              <w:spacing w:after="0"/>
              <w:ind w:firstLineChars="200" w:firstLine="440"/>
              <w:rPr>
                <w:rFonts w:cs="Calibri"/>
                <w:color w:val="000000"/>
              </w:rPr>
            </w:pPr>
            <w:r>
              <w:rPr>
                <w:rFonts w:cs="Calibri"/>
                <w:color w:val="000000"/>
              </w:rPr>
              <w:t>Wellington - Central &amp; South</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531,146</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1.5%</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0.5%</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-5.2%</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noWrap/>
            <w:vAlign w:val="bottom"/>
            <w:hideMark/>
          </w:tcPr>
          <w:p w:rsidR="00CB6840" w:rsidRDefault="00CB6840" w:rsidP="00CB6840">
            <w:pPr>
              <w:spacing w:after="0"/>
              <w:ind w:firstLineChars="200" w:firstLine="440"/>
              <w:rPr>
                <w:rFonts w:cs="Calibri"/>
                <w:color w:val="000000"/>
              </w:rPr>
            </w:pPr>
            <w:r>
              <w:rPr>
                <w:rFonts w:cs="Calibri"/>
                <w:color w:val="000000"/>
              </w:rPr>
              <w:t>Wellington - East</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571,046</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3.6%</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-0.5%</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-0.9%</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noWrap/>
            <w:vAlign w:val="bottom"/>
            <w:hideMark/>
          </w:tcPr>
          <w:p w:rsidR="00CB6840" w:rsidRDefault="00CB6840" w:rsidP="00CB6840">
            <w:pPr>
              <w:spacing w:after="0"/>
              <w:ind w:firstLineChars="200" w:firstLine="440"/>
              <w:rPr>
                <w:rFonts w:cs="Calibri"/>
                <w:color w:val="000000"/>
              </w:rPr>
            </w:pPr>
            <w:r>
              <w:rPr>
                <w:rFonts w:cs="Calibri"/>
                <w:color w:val="000000"/>
              </w:rPr>
              <w:t>Wellington - North</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458,071</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2.6%</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0.5%</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-1.7%</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noWrap/>
            <w:vAlign w:val="bottom"/>
            <w:hideMark/>
          </w:tcPr>
          <w:p w:rsidR="00CB6840" w:rsidRDefault="00CB6840" w:rsidP="00CB6840">
            <w:pPr>
              <w:spacing w:after="0"/>
              <w:ind w:firstLineChars="200" w:firstLine="440"/>
              <w:rPr>
                <w:rFonts w:cs="Calibri"/>
                <w:color w:val="000000"/>
              </w:rPr>
            </w:pPr>
            <w:r>
              <w:rPr>
                <w:rFonts w:cs="Calibri"/>
                <w:color w:val="000000"/>
              </w:rPr>
              <w:t>Wellington - West</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604,724</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4.9%</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1.1%</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-0.4%</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proofErr w:type="spellStart"/>
            <w:r>
              <w:rPr>
                <w:rFonts w:cs="Calibri"/>
                <w:color w:val="000000"/>
              </w:rPr>
              <w:t>Masterton</w:t>
            </w:r>
            <w:proofErr w:type="spellEnd"/>
          </w:p>
        </w:tc>
        <w:tc>
          <w:tcPr>
            <w:tcW w:w="1696" w:type="dxa"/>
            <w:shd w:val="clear" w:color="auto" w:fill="auto"/>
            <w:noWrap/>
            <w:vAlign w:val="bottom"/>
            <w:hideMark/>
          </w:tcPr>
          <w:p w:rsidR="00CB6840" w:rsidRDefault="00CB6840" w:rsidP="00CB6840">
            <w:pPr>
              <w:spacing w:after="0"/>
              <w:jc w:val="right"/>
              <w:rPr>
                <w:rFonts w:cs="Calibri"/>
              </w:rPr>
            </w:pPr>
            <w:r>
              <w:rPr>
                <w:rFonts w:cs="Calibri"/>
              </w:rPr>
              <w:t>239,437</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-0.1%</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3.9%</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-17.3%</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proofErr w:type="spellStart"/>
            <w:r>
              <w:rPr>
                <w:rFonts w:cs="Calibri"/>
                <w:color w:val="000000"/>
              </w:rPr>
              <w:t>Carterton</w:t>
            </w:r>
            <w:proofErr w:type="spellEnd"/>
          </w:p>
        </w:tc>
        <w:tc>
          <w:tcPr>
            <w:tcW w:w="1696" w:type="dxa"/>
            <w:shd w:val="clear" w:color="auto" w:fill="auto"/>
            <w:noWrap/>
            <w:vAlign w:val="bottom"/>
            <w:hideMark/>
          </w:tcPr>
          <w:p w:rsidR="00CB6840" w:rsidRDefault="00CB6840" w:rsidP="00CB6840">
            <w:pPr>
              <w:spacing w:after="0"/>
              <w:jc w:val="right"/>
              <w:rPr>
                <w:rFonts w:cs="Calibri"/>
                <w:i/>
                <w:iCs/>
              </w:rPr>
            </w:pPr>
            <w:r>
              <w:rPr>
                <w:rFonts w:cs="Calibri"/>
                <w:i/>
                <w:iCs/>
              </w:rPr>
              <w:t>250,985</w:t>
            </w:r>
          </w:p>
        </w:tc>
        <w:tc>
          <w:tcPr>
            <w:tcW w:w="1180" w:type="dxa"/>
            <w:shd w:val="clear" w:color="auto" w:fill="auto"/>
            <w:noWrap/>
            <w:vAlign w:val="bottom"/>
            <w:hideMark/>
          </w:tcPr>
          <w:p w:rsidR="00CB6840" w:rsidRDefault="00CB6840" w:rsidP="00CB6840">
            <w:pPr>
              <w:spacing w:after="0"/>
              <w:jc w:val="right"/>
              <w:rPr>
                <w:rFonts w:cs="Calibri"/>
                <w:i/>
                <w:iCs/>
              </w:rPr>
            </w:pPr>
            <w:r>
              <w:rPr>
                <w:rFonts w:cs="Calibri"/>
                <w:i/>
                <w:iCs/>
              </w:rPr>
              <w:t>3.6%</w:t>
            </w:r>
          </w:p>
        </w:tc>
        <w:tc>
          <w:tcPr>
            <w:tcW w:w="1240" w:type="dxa"/>
            <w:shd w:val="clear" w:color="auto" w:fill="auto"/>
            <w:noWrap/>
            <w:vAlign w:val="bottom"/>
            <w:hideMark/>
          </w:tcPr>
          <w:p w:rsidR="00CB6840" w:rsidRDefault="00CB6840" w:rsidP="00CB6840">
            <w:pPr>
              <w:spacing w:after="0"/>
              <w:jc w:val="right"/>
              <w:rPr>
                <w:rFonts w:cs="Calibri"/>
                <w:i/>
                <w:iCs/>
              </w:rPr>
            </w:pPr>
            <w:r>
              <w:rPr>
                <w:rFonts w:cs="Calibri"/>
                <w:i/>
                <w:iCs/>
              </w:rPr>
              <w:t>-2.4%</w:t>
            </w:r>
          </w:p>
        </w:tc>
        <w:tc>
          <w:tcPr>
            <w:tcW w:w="2156" w:type="dxa"/>
            <w:shd w:val="clear" w:color="auto" w:fill="auto"/>
            <w:noWrap/>
            <w:vAlign w:val="bottom"/>
            <w:hideMark/>
          </w:tcPr>
          <w:p w:rsidR="00CB6840" w:rsidRDefault="00CB6840" w:rsidP="00CB6840">
            <w:pPr>
              <w:spacing w:after="0"/>
              <w:jc w:val="right"/>
              <w:rPr>
                <w:rFonts w:cs="Calibri"/>
                <w:i/>
                <w:iCs/>
              </w:rPr>
            </w:pPr>
            <w:r>
              <w:rPr>
                <w:rFonts w:cs="Calibri"/>
                <w:i/>
                <w:iCs/>
              </w:rPr>
              <w:t>-9.1%</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 xml:space="preserve">South </w:t>
            </w:r>
            <w:proofErr w:type="spellStart"/>
            <w:r>
              <w:rPr>
                <w:rFonts w:cs="Calibri"/>
                <w:color w:val="000000"/>
              </w:rPr>
              <w:t>Wairarapa</w:t>
            </w:r>
            <w:proofErr w:type="spellEnd"/>
          </w:p>
        </w:tc>
        <w:tc>
          <w:tcPr>
            <w:tcW w:w="1696" w:type="dxa"/>
            <w:shd w:val="clear" w:color="auto" w:fill="auto"/>
            <w:noWrap/>
            <w:vAlign w:val="bottom"/>
            <w:hideMark/>
          </w:tcPr>
          <w:p w:rsidR="00CB6840" w:rsidRDefault="00CB6840" w:rsidP="00CB6840">
            <w:pPr>
              <w:spacing w:after="0"/>
              <w:jc w:val="right"/>
              <w:rPr>
                <w:rFonts w:cs="Calibri"/>
                <w:i/>
                <w:iCs/>
              </w:rPr>
            </w:pPr>
            <w:r>
              <w:rPr>
                <w:rFonts w:cs="Calibri"/>
                <w:i/>
                <w:iCs/>
              </w:rPr>
              <w:t>289,688</w:t>
            </w:r>
          </w:p>
        </w:tc>
        <w:tc>
          <w:tcPr>
            <w:tcW w:w="1180" w:type="dxa"/>
            <w:shd w:val="clear" w:color="auto" w:fill="auto"/>
            <w:noWrap/>
            <w:vAlign w:val="bottom"/>
            <w:hideMark/>
          </w:tcPr>
          <w:p w:rsidR="00CB6840" w:rsidRDefault="00CB6840" w:rsidP="00CB6840">
            <w:pPr>
              <w:spacing w:after="0"/>
              <w:jc w:val="right"/>
              <w:rPr>
                <w:rFonts w:cs="Calibri"/>
                <w:i/>
                <w:iCs/>
              </w:rPr>
            </w:pPr>
            <w:r>
              <w:rPr>
                <w:rFonts w:cs="Calibri"/>
                <w:i/>
                <w:iCs/>
              </w:rPr>
              <w:t>-0.7%</w:t>
            </w:r>
          </w:p>
        </w:tc>
        <w:tc>
          <w:tcPr>
            <w:tcW w:w="1240" w:type="dxa"/>
            <w:shd w:val="clear" w:color="auto" w:fill="auto"/>
            <w:noWrap/>
            <w:vAlign w:val="bottom"/>
            <w:hideMark/>
          </w:tcPr>
          <w:p w:rsidR="00CB6840" w:rsidRDefault="00CB6840" w:rsidP="00CB6840">
            <w:pPr>
              <w:spacing w:after="0"/>
              <w:jc w:val="right"/>
              <w:rPr>
                <w:rFonts w:cs="Calibri"/>
                <w:i/>
                <w:iCs/>
              </w:rPr>
            </w:pPr>
            <w:r>
              <w:rPr>
                <w:rFonts w:cs="Calibri"/>
                <w:i/>
                <w:iCs/>
              </w:rPr>
              <w:t>0.4%</w:t>
            </w:r>
          </w:p>
        </w:tc>
        <w:tc>
          <w:tcPr>
            <w:tcW w:w="2156" w:type="dxa"/>
            <w:shd w:val="clear" w:color="auto" w:fill="auto"/>
            <w:noWrap/>
            <w:vAlign w:val="bottom"/>
            <w:hideMark/>
          </w:tcPr>
          <w:p w:rsidR="00CB6840" w:rsidRDefault="00CB6840" w:rsidP="00CB6840">
            <w:pPr>
              <w:spacing w:after="0"/>
              <w:jc w:val="right"/>
              <w:rPr>
                <w:rFonts w:cs="Calibri"/>
                <w:i/>
                <w:iCs/>
              </w:rPr>
            </w:pPr>
            <w:r>
              <w:rPr>
                <w:rFonts w:cs="Calibri"/>
                <w:i/>
                <w:iCs/>
              </w:rPr>
              <w:t>-15.4%</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Tasman</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404,285</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4.2%</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1.9%</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1.5%</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r>
              <w:rPr>
                <w:rFonts w:cs="Calibri"/>
                <w:color w:val="000000"/>
              </w:rPr>
              <w:t>#</w:t>
            </w: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Nelson</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393,171</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3.9%</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0.8%</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2.9%</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Marlborough</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341,912</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2.1%</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0.8%</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-12.4%</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proofErr w:type="spellStart"/>
            <w:r>
              <w:rPr>
                <w:rFonts w:cs="Calibri"/>
                <w:color w:val="000000"/>
              </w:rPr>
              <w:t>Kaikoura</w:t>
            </w:r>
            <w:proofErr w:type="spellEnd"/>
          </w:p>
        </w:tc>
        <w:tc>
          <w:tcPr>
            <w:tcW w:w="1696" w:type="dxa"/>
            <w:shd w:val="clear" w:color="auto" w:fill="auto"/>
            <w:noWrap/>
            <w:vAlign w:val="bottom"/>
            <w:hideMark/>
          </w:tcPr>
          <w:p w:rsidR="00CB6840" w:rsidRDefault="00CB6840" w:rsidP="00CB6840">
            <w:pPr>
              <w:spacing w:after="0"/>
              <w:jc w:val="right"/>
              <w:rPr>
                <w:rFonts w:cs="Calibri"/>
              </w:rPr>
            </w:pPr>
            <w:r>
              <w:rPr>
                <w:rFonts w:cs="Calibri"/>
              </w:rPr>
              <w:t>N/A</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N/A</w:t>
            </w:r>
          </w:p>
        </w:tc>
        <w:tc>
          <w:tcPr>
            <w:tcW w:w="1240" w:type="dxa"/>
            <w:shd w:val="clear" w:color="auto" w:fill="auto"/>
            <w:noWrap/>
            <w:vAlign w:val="bottom"/>
            <w:hideMark/>
          </w:tcPr>
          <w:p w:rsidR="00CB6840" w:rsidRDefault="00CB6840" w:rsidP="00CB6840">
            <w:pPr>
              <w:spacing w:after="0"/>
              <w:jc w:val="right"/>
              <w:rPr>
                <w:rFonts w:cs="Calibri"/>
              </w:rPr>
            </w:pPr>
            <w:r>
              <w:rPr>
                <w:rFonts w:cs="Calibri"/>
              </w:rPr>
              <w:t>N/A</w:t>
            </w:r>
          </w:p>
        </w:tc>
        <w:tc>
          <w:tcPr>
            <w:tcW w:w="2156" w:type="dxa"/>
            <w:shd w:val="clear" w:color="auto" w:fill="auto"/>
            <w:noWrap/>
            <w:vAlign w:val="bottom"/>
            <w:hideMark/>
          </w:tcPr>
          <w:p w:rsidR="00CB6840" w:rsidRDefault="00CB6840" w:rsidP="00CB6840">
            <w:pPr>
              <w:spacing w:after="0"/>
              <w:jc w:val="right"/>
              <w:rPr>
                <w:rFonts w:cs="Calibri"/>
              </w:rPr>
            </w:pPr>
            <w:r>
              <w:rPr>
                <w:rFonts w:cs="Calibri"/>
              </w:rPr>
              <w:t>N/A</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proofErr w:type="spellStart"/>
            <w:r>
              <w:rPr>
                <w:rFonts w:cs="Calibri"/>
                <w:color w:val="000000"/>
              </w:rPr>
              <w:t>Buller</w:t>
            </w:r>
            <w:proofErr w:type="spellEnd"/>
          </w:p>
        </w:tc>
        <w:tc>
          <w:tcPr>
            <w:tcW w:w="1696" w:type="dxa"/>
            <w:shd w:val="clear" w:color="auto" w:fill="auto"/>
            <w:noWrap/>
            <w:vAlign w:val="bottom"/>
            <w:hideMark/>
          </w:tcPr>
          <w:p w:rsidR="00CB6840" w:rsidRDefault="00CB6840" w:rsidP="00CB6840">
            <w:pPr>
              <w:spacing w:after="0"/>
              <w:jc w:val="right"/>
              <w:rPr>
                <w:rFonts w:cs="Calibri"/>
                <w:i/>
                <w:iCs/>
              </w:rPr>
            </w:pPr>
            <w:r>
              <w:rPr>
                <w:rFonts w:cs="Calibri"/>
                <w:i/>
                <w:iCs/>
              </w:rPr>
              <w:t>223,398</w:t>
            </w:r>
          </w:p>
        </w:tc>
        <w:tc>
          <w:tcPr>
            <w:tcW w:w="1180" w:type="dxa"/>
            <w:shd w:val="clear" w:color="auto" w:fill="auto"/>
            <w:noWrap/>
            <w:vAlign w:val="bottom"/>
            <w:hideMark/>
          </w:tcPr>
          <w:p w:rsidR="00CB6840" w:rsidRDefault="00CB6840" w:rsidP="00CB6840">
            <w:pPr>
              <w:spacing w:after="0"/>
              <w:jc w:val="right"/>
              <w:rPr>
                <w:rFonts w:cs="Calibri"/>
                <w:i/>
                <w:iCs/>
              </w:rPr>
            </w:pPr>
            <w:r>
              <w:rPr>
                <w:rFonts w:cs="Calibri"/>
                <w:i/>
                <w:iCs/>
              </w:rPr>
              <w:t>1.9%</w:t>
            </w:r>
          </w:p>
        </w:tc>
        <w:tc>
          <w:tcPr>
            <w:tcW w:w="1240" w:type="dxa"/>
            <w:shd w:val="clear" w:color="auto" w:fill="auto"/>
            <w:noWrap/>
            <w:vAlign w:val="bottom"/>
            <w:hideMark/>
          </w:tcPr>
          <w:p w:rsidR="00CB6840" w:rsidRDefault="00CB6840" w:rsidP="00CB6840">
            <w:pPr>
              <w:spacing w:after="0"/>
              <w:jc w:val="right"/>
              <w:rPr>
                <w:rFonts w:cs="Calibri"/>
                <w:i/>
                <w:iCs/>
              </w:rPr>
            </w:pPr>
            <w:r>
              <w:rPr>
                <w:rFonts w:cs="Calibri"/>
                <w:i/>
                <w:iCs/>
              </w:rPr>
              <w:t>-0.7%</w:t>
            </w:r>
          </w:p>
        </w:tc>
        <w:tc>
          <w:tcPr>
            <w:tcW w:w="2156" w:type="dxa"/>
            <w:shd w:val="clear" w:color="auto" w:fill="auto"/>
            <w:noWrap/>
            <w:vAlign w:val="bottom"/>
            <w:hideMark/>
          </w:tcPr>
          <w:p w:rsidR="00CB6840" w:rsidRDefault="00CB6840" w:rsidP="00CB6840">
            <w:pPr>
              <w:spacing w:after="0"/>
              <w:jc w:val="right"/>
              <w:rPr>
                <w:rFonts w:cs="Calibri"/>
                <w:i/>
                <w:iCs/>
              </w:rPr>
            </w:pPr>
            <w:r>
              <w:rPr>
                <w:rFonts w:cs="Calibri"/>
                <w:i/>
                <w:iCs/>
              </w:rPr>
              <w:t>7.6%</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Grey</w:t>
            </w:r>
          </w:p>
        </w:tc>
        <w:tc>
          <w:tcPr>
            <w:tcW w:w="1696" w:type="dxa"/>
            <w:shd w:val="clear" w:color="auto" w:fill="auto"/>
            <w:noWrap/>
            <w:vAlign w:val="bottom"/>
            <w:hideMark/>
          </w:tcPr>
          <w:p w:rsidR="00CB6840" w:rsidRDefault="00CB6840" w:rsidP="00CB6840">
            <w:pPr>
              <w:spacing w:after="0"/>
              <w:jc w:val="right"/>
              <w:rPr>
                <w:rFonts w:cs="Calibri"/>
                <w:i/>
                <w:iCs/>
              </w:rPr>
            </w:pPr>
            <w:r>
              <w:rPr>
                <w:rFonts w:cs="Calibri"/>
                <w:i/>
                <w:iCs/>
              </w:rPr>
              <w:t>218,287</w:t>
            </w:r>
          </w:p>
        </w:tc>
        <w:tc>
          <w:tcPr>
            <w:tcW w:w="1180" w:type="dxa"/>
            <w:shd w:val="clear" w:color="auto" w:fill="auto"/>
            <w:noWrap/>
            <w:vAlign w:val="bottom"/>
            <w:hideMark/>
          </w:tcPr>
          <w:p w:rsidR="00CB6840" w:rsidRDefault="00CB6840" w:rsidP="00CB6840">
            <w:pPr>
              <w:spacing w:after="0"/>
              <w:jc w:val="right"/>
              <w:rPr>
                <w:rFonts w:cs="Calibri"/>
                <w:i/>
                <w:iCs/>
              </w:rPr>
            </w:pPr>
            <w:r>
              <w:rPr>
                <w:rFonts w:cs="Calibri"/>
                <w:i/>
                <w:iCs/>
              </w:rPr>
              <w:t>-0.1%</w:t>
            </w:r>
          </w:p>
        </w:tc>
        <w:tc>
          <w:tcPr>
            <w:tcW w:w="1240" w:type="dxa"/>
            <w:shd w:val="clear" w:color="auto" w:fill="auto"/>
            <w:noWrap/>
            <w:vAlign w:val="bottom"/>
            <w:hideMark/>
          </w:tcPr>
          <w:p w:rsidR="00CB6840" w:rsidRDefault="00CB6840" w:rsidP="00CB6840">
            <w:pPr>
              <w:spacing w:after="0"/>
              <w:jc w:val="right"/>
              <w:rPr>
                <w:rFonts w:cs="Calibri"/>
                <w:i/>
                <w:iCs/>
              </w:rPr>
            </w:pPr>
            <w:r>
              <w:rPr>
                <w:rFonts w:cs="Calibri"/>
                <w:i/>
                <w:iCs/>
              </w:rPr>
              <w:t>2.4%</w:t>
            </w:r>
          </w:p>
        </w:tc>
        <w:tc>
          <w:tcPr>
            <w:tcW w:w="2156" w:type="dxa"/>
            <w:shd w:val="clear" w:color="auto" w:fill="auto"/>
            <w:noWrap/>
            <w:vAlign w:val="bottom"/>
            <w:hideMark/>
          </w:tcPr>
          <w:p w:rsidR="00CB6840" w:rsidRDefault="00CB6840" w:rsidP="00CB6840">
            <w:pPr>
              <w:spacing w:after="0"/>
              <w:jc w:val="right"/>
              <w:rPr>
                <w:rFonts w:cs="Calibri"/>
                <w:i/>
                <w:iCs/>
              </w:rPr>
            </w:pPr>
            <w:r>
              <w:rPr>
                <w:rFonts w:cs="Calibri"/>
                <w:i/>
                <w:iCs/>
              </w:rPr>
              <w:t>-9.5%</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Westland</w:t>
            </w:r>
          </w:p>
        </w:tc>
        <w:tc>
          <w:tcPr>
            <w:tcW w:w="1696" w:type="dxa"/>
            <w:shd w:val="clear" w:color="auto" w:fill="auto"/>
            <w:noWrap/>
            <w:vAlign w:val="bottom"/>
            <w:hideMark/>
          </w:tcPr>
          <w:p w:rsidR="00CB6840" w:rsidRDefault="00CB6840" w:rsidP="00CB6840">
            <w:pPr>
              <w:spacing w:after="0"/>
              <w:jc w:val="right"/>
              <w:rPr>
                <w:rFonts w:cs="Calibri"/>
                <w:i/>
                <w:iCs/>
              </w:rPr>
            </w:pPr>
            <w:r>
              <w:rPr>
                <w:rFonts w:cs="Calibri"/>
                <w:i/>
                <w:iCs/>
              </w:rPr>
              <w:t>224,733</w:t>
            </w:r>
          </w:p>
        </w:tc>
        <w:tc>
          <w:tcPr>
            <w:tcW w:w="1180" w:type="dxa"/>
            <w:shd w:val="clear" w:color="auto" w:fill="auto"/>
            <w:noWrap/>
            <w:vAlign w:val="bottom"/>
            <w:hideMark/>
          </w:tcPr>
          <w:p w:rsidR="00CB6840" w:rsidRDefault="00CB6840" w:rsidP="00CB6840">
            <w:pPr>
              <w:spacing w:after="0"/>
              <w:jc w:val="right"/>
              <w:rPr>
                <w:rFonts w:cs="Calibri"/>
                <w:i/>
                <w:iCs/>
              </w:rPr>
            </w:pPr>
            <w:r>
              <w:rPr>
                <w:rFonts w:cs="Calibri"/>
                <w:i/>
                <w:iCs/>
              </w:rPr>
              <w:t>0.2%</w:t>
            </w:r>
          </w:p>
        </w:tc>
        <w:tc>
          <w:tcPr>
            <w:tcW w:w="1240" w:type="dxa"/>
            <w:shd w:val="clear" w:color="auto" w:fill="auto"/>
            <w:noWrap/>
            <w:vAlign w:val="bottom"/>
            <w:hideMark/>
          </w:tcPr>
          <w:p w:rsidR="00CB6840" w:rsidRDefault="00CB6840" w:rsidP="00CB6840">
            <w:pPr>
              <w:spacing w:after="0"/>
              <w:jc w:val="right"/>
              <w:rPr>
                <w:rFonts w:cs="Calibri"/>
                <w:i/>
                <w:iCs/>
              </w:rPr>
            </w:pPr>
            <w:r>
              <w:rPr>
                <w:rFonts w:cs="Calibri"/>
                <w:i/>
                <w:iCs/>
              </w:rPr>
              <w:t>2.0%</w:t>
            </w:r>
          </w:p>
        </w:tc>
        <w:tc>
          <w:tcPr>
            <w:tcW w:w="2156" w:type="dxa"/>
            <w:shd w:val="clear" w:color="auto" w:fill="auto"/>
            <w:noWrap/>
            <w:vAlign w:val="bottom"/>
            <w:hideMark/>
          </w:tcPr>
          <w:p w:rsidR="00CB6840" w:rsidRDefault="00CB6840" w:rsidP="00CB6840">
            <w:pPr>
              <w:spacing w:after="0"/>
              <w:jc w:val="right"/>
              <w:rPr>
                <w:rFonts w:cs="Calibri"/>
                <w:i/>
                <w:iCs/>
              </w:rPr>
            </w:pPr>
            <w:r>
              <w:rPr>
                <w:rFonts w:cs="Calibri"/>
                <w:i/>
                <w:iCs/>
              </w:rPr>
              <w:t>-9.4%</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Hurunui</w:t>
            </w:r>
          </w:p>
        </w:tc>
        <w:tc>
          <w:tcPr>
            <w:tcW w:w="1696" w:type="dxa"/>
            <w:shd w:val="clear" w:color="auto" w:fill="auto"/>
            <w:noWrap/>
            <w:vAlign w:val="bottom"/>
            <w:hideMark/>
          </w:tcPr>
          <w:p w:rsidR="00CB6840" w:rsidRDefault="00CB6840" w:rsidP="00CB6840">
            <w:pPr>
              <w:spacing w:after="0"/>
              <w:jc w:val="right"/>
              <w:rPr>
                <w:rFonts w:cs="Calibri"/>
                <w:i/>
                <w:iCs/>
              </w:rPr>
            </w:pPr>
            <w:r>
              <w:rPr>
                <w:rFonts w:cs="Calibri"/>
                <w:i/>
                <w:iCs/>
              </w:rPr>
              <w:t>316,571</w:t>
            </w:r>
          </w:p>
        </w:tc>
        <w:tc>
          <w:tcPr>
            <w:tcW w:w="1180" w:type="dxa"/>
            <w:shd w:val="clear" w:color="auto" w:fill="auto"/>
            <w:noWrap/>
            <w:vAlign w:val="bottom"/>
            <w:hideMark/>
          </w:tcPr>
          <w:p w:rsidR="00CB6840" w:rsidRDefault="00CB6840" w:rsidP="00CB6840">
            <w:pPr>
              <w:spacing w:after="0"/>
              <w:jc w:val="right"/>
              <w:rPr>
                <w:rFonts w:cs="Calibri"/>
                <w:i/>
                <w:iCs/>
              </w:rPr>
            </w:pPr>
            <w:r>
              <w:rPr>
                <w:rFonts w:cs="Calibri"/>
                <w:i/>
                <w:iCs/>
              </w:rPr>
              <w:t>4.5%</w:t>
            </w:r>
          </w:p>
        </w:tc>
        <w:tc>
          <w:tcPr>
            <w:tcW w:w="1240" w:type="dxa"/>
            <w:shd w:val="clear" w:color="auto" w:fill="auto"/>
            <w:noWrap/>
            <w:vAlign w:val="bottom"/>
            <w:hideMark/>
          </w:tcPr>
          <w:p w:rsidR="00CB6840" w:rsidRDefault="00CB6840" w:rsidP="00CB6840">
            <w:pPr>
              <w:spacing w:after="0"/>
              <w:jc w:val="right"/>
              <w:rPr>
                <w:rFonts w:cs="Calibri"/>
                <w:i/>
                <w:iCs/>
              </w:rPr>
            </w:pPr>
            <w:r>
              <w:rPr>
                <w:rFonts w:cs="Calibri"/>
                <w:i/>
                <w:iCs/>
              </w:rPr>
              <w:t>-3.9%</w:t>
            </w:r>
          </w:p>
        </w:tc>
        <w:tc>
          <w:tcPr>
            <w:tcW w:w="2156" w:type="dxa"/>
            <w:shd w:val="clear" w:color="auto" w:fill="auto"/>
            <w:noWrap/>
            <w:vAlign w:val="bottom"/>
            <w:hideMark/>
          </w:tcPr>
          <w:p w:rsidR="00CB6840" w:rsidRDefault="00CB6840" w:rsidP="00CB6840">
            <w:pPr>
              <w:spacing w:after="0"/>
              <w:jc w:val="right"/>
              <w:rPr>
                <w:rFonts w:cs="Calibri"/>
                <w:i/>
                <w:iCs/>
              </w:rPr>
            </w:pPr>
            <w:r>
              <w:rPr>
                <w:rFonts w:cs="Calibri"/>
                <w:i/>
                <w:iCs/>
              </w:rPr>
              <w:t>0.0%</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Waimakariri</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378,446</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6.8%</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2.9%</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18.7%</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r>
              <w:rPr>
                <w:rFonts w:cs="Calibri"/>
                <w:color w:val="000000"/>
              </w:rPr>
              <w:t>#</w:t>
            </w: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Christchurch</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424,721</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10.0%</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3.0%</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10.8%</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noWrap/>
            <w:vAlign w:val="bottom"/>
            <w:hideMark/>
          </w:tcPr>
          <w:p w:rsidR="00CB6840" w:rsidRDefault="00CB6840" w:rsidP="00CB6840">
            <w:pPr>
              <w:spacing w:after="0"/>
              <w:ind w:firstLineChars="200" w:firstLine="440"/>
              <w:rPr>
                <w:rFonts w:cs="Calibri"/>
                <w:color w:val="000000"/>
              </w:rPr>
            </w:pPr>
            <w:r>
              <w:rPr>
                <w:rFonts w:cs="Calibri"/>
                <w:color w:val="000000"/>
              </w:rPr>
              <w:t>Christchurch - East</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324,713</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8.3%</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1.5%</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4.9%</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noWrap/>
            <w:vAlign w:val="bottom"/>
            <w:hideMark/>
          </w:tcPr>
          <w:p w:rsidR="00CB6840" w:rsidRDefault="00CB6840" w:rsidP="00CB6840">
            <w:pPr>
              <w:spacing w:after="0"/>
              <w:ind w:firstLineChars="200" w:firstLine="440"/>
              <w:rPr>
                <w:rFonts w:cs="Calibri"/>
                <w:color w:val="000000"/>
              </w:rPr>
            </w:pPr>
            <w:r>
              <w:rPr>
                <w:rFonts w:cs="Calibri"/>
                <w:color w:val="000000"/>
              </w:rPr>
              <w:t>Christchurch - Hills</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597,257</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7.8%</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2.2%</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8.0%</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noWrap/>
            <w:vAlign w:val="bottom"/>
            <w:hideMark/>
          </w:tcPr>
          <w:p w:rsidR="00CB6840" w:rsidRDefault="00CB6840" w:rsidP="00CB6840">
            <w:pPr>
              <w:spacing w:after="0"/>
              <w:ind w:firstLineChars="200" w:firstLine="440"/>
              <w:rPr>
                <w:rFonts w:cs="Calibri"/>
                <w:color w:val="000000"/>
              </w:rPr>
            </w:pPr>
            <w:r>
              <w:rPr>
                <w:rFonts w:cs="Calibri"/>
                <w:color w:val="000000"/>
              </w:rPr>
              <w:t>Christchurch - Central &amp; North</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491,706</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11.5%</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3.5%</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11.1%</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noWrap/>
            <w:vAlign w:val="bottom"/>
            <w:hideMark/>
          </w:tcPr>
          <w:p w:rsidR="00CB6840" w:rsidRDefault="00CB6840" w:rsidP="00CB6840">
            <w:pPr>
              <w:spacing w:after="0"/>
              <w:ind w:firstLineChars="200" w:firstLine="440"/>
              <w:rPr>
                <w:rFonts w:cs="Calibri"/>
                <w:color w:val="000000"/>
              </w:rPr>
            </w:pPr>
            <w:r>
              <w:rPr>
                <w:rFonts w:cs="Calibri"/>
                <w:color w:val="000000"/>
              </w:rPr>
              <w:t>Christchurch - Southwest</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392,417</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10.6%</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3.6%</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15.6%</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noWrap/>
            <w:vAlign w:val="bottom"/>
            <w:hideMark/>
          </w:tcPr>
          <w:p w:rsidR="00CB6840" w:rsidRDefault="00CB6840" w:rsidP="00CB6840">
            <w:pPr>
              <w:spacing w:after="0"/>
              <w:ind w:firstLineChars="200" w:firstLine="440"/>
              <w:rPr>
                <w:rFonts w:cs="Calibri"/>
                <w:color w:val="000000"/>
              </w:rPr>
            </w:pPr>
            <w:r>
              <w:rPr>
                <w:rFonts w:cs="Calibri"/>
                <w:color w:val="000000"/>
              </w:rPr>
              <w:t>Christchurch - Banks Peninsula</w:t>
            </w:r>
          </w:p>
        </w:tc>
        <w:tc>
          <w:tcPr>
            <w:tcW w:w="1696" w:type="dxa"/>
            <w:shd w:val="clear" w:color="auto" w:fill="auto"/>
            <w:noWrap/>
            <w:vAlign w:val="bottom"/>
            <w:hideMark/>
          </w:tcPr>
          <w:p w:rsidR="00CB6840" w:rsidRDefault="00CB6840" w:rsidP="00CB6840">
            <w:pPr>
              <w:spacing w:after="0"/>
              <w:jc w:val="right"/>
              <w:rPr>
                <w:rFonts w:cs="Calibri"/>
                <w:i/>
                <w:iCs/>
              </w:rPr>
            </w:pPr>
            <w:r>
              <w:rPr>
                <w:rFonts w:cs="Calibri"/>
                <w:i/>
                <w:iCs/>
              </w:rPr>
              <w:t>502,194</w:t>
            </w:r>
          </w:p>
        </w:tc>
        <w:tc>
          <w:tcPr>
            <w:tcW w:w="1180" w:type="dxa"/>
            <w:shd w:val="clear" w:color="auto" w:fill="auto"/>
            <w:noWrap/>
            <w:vAlign w:val="bottom"/>
            <w:hideMark/>
          </w:tcPr>
          <w:p w:rsidR="00CB6840" w:rsidRDefault="00CB6840" w:rsidP="00CB6840">
            <w:pPr>
              <w:spacing w:after="0"/>
              <w:jc w:val="right"/>
              <w:rPr>
                <w:rFonts w:cs="Calibri"/>
                <w:i/>
                <w:iCs/>
              </w:rPr>
            </w:pPr>
            <w:r>
              <w:rPr>
                <w:rFonts w:cs="Calibri"/>
                <w:i/>
                <w:iCs/>
              </w:rPr>
              <w:t>16.0%</w:t>
            </w:r>
          </w:p>
        </w:tc>
        <w:tc>
          <w:tcPr>
            <w:tcW w:w="1240" w:type="dxa"/>
            <w:shd w:val="clear" w:color="auto" w:fill="auto"/>
            <w:noWrap/>
            <w:vAlign w:val="bottom"/>
            <w:hideMark/>
          </w:tcPr>
          <w:p w:rsidR="00CB6840" w:rsidRDefault="00CB6840" w:rsidP="00CB6840">
            <w:pPr>
              <w:spacing w:after="0"/>
              <w:jc w:val="right"/>
              <w:rPr>
                <w:rFonts w:cs="Calibri"/>
                <w:i/>
                <w:iCs/>
              </w:rPr>
            </w:pPr>
            <w:r>
              <w:rPr>
                <w:rFonts w:cs="Calibri"/>
                <w:i/>
                <w:iCs/>
              </w:rPr>
              <w:t>6.3%</w:t>
            </w:r>
          </w:p>
        </w:tc>
        <w:tc>
          <w:tcPr>
            <w:tcW w:w="2156" w:type="dxa"/>
            <w:shd w:val="clear" w:color="auto" w:fill="auto"/>
            <w:noWrap/>
            <w:vAlign w:val="bottom"/>
            <w:hideMark/>
          </w:tcPr>
          <w:p w:rsidR="00CB6840" w:rsidRDefault="00CB6840" w:rsidP="00CB6840">
            <w:pPr>
              <w:spacing w:after="0"/>
              <w:jc w:val="right"/>
              <w:rPr>
                <w:rFonts w:cs="Calibri"/>
                <w:i/>
                <w:iCs/>
              </w:rPr>
            </w:pPr>
            <w:r>
              <w:rPr>
                <w:rFonts w:cs="Calibri"/>
                <w:i/>
                <w:iCs/>
              </w:rPr>
              <w:t>4.5%</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Selwyn</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460,537</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12.7%</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2.9%</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22.1%</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proofErr w:type="spellStart"/>
            <w:r>
              <w:rPr>
                <w:rFonts w:cs="Calibri"/>
                <w:color w:val="000000"/>
              </w:rPr>
              <w:t>Ashburton</w:t>
            </w:r>
            <w:proofErr w:type="spellEnd"/>
          </w:p>
        </w:tc>
        <w:tc>
          <w:tcPr>
            <w:tcW w:w="1696" w:type="dxa"/>
            <w:shd w:val="clear" w:color="auto" w:fill="auto"/>
            <w:noWrap/>
            <w:vAlign w:val="bottom"/>
            <w:hideMark/>
          </w:tcPr>
          <w:p w:rsidR="00CB6840" w:rsidRDefault="00CB6840" w:rsidP="00CB6840">
            <w:pPr>
              <w:spacing w:after="0"/>
              <w:jc w:val="right"/>
              <w:rPr>
                <w:rFonts w:cs="Calibri"/>
              </w:rPr>
            </w:pPr>
            <w:r>
              <w:rPr>
                <w:rFonts w:cs="Calibri"/>
              </w:rPr>
              <w:t>298,636</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9.9%</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1.2%</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6.6%</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proofErr w:type="spellStart"/>
            <w:r>
              <w:rPr>
                <w:rFonts w:cs="Calibri"/>
                <w:color w:val="000000"/>
              </w:rPr>
              <w:t>Timaru</w:t>
            </w:r>
            <w:proofErr w:type="spellEnd"/>
          </w:p>
        </w:tc>
        <w:tc>
          <w:tcPr>
            <w:tcW w:w="1696" w:type="dxa"/>
            <w:shd w:val="clear" w:color="auto" w:fill="auto"/>
            <w:noWrap/>
            <w:vAlign w:val="bottom"/>
            <w:hideMark/>
          </w:tcPr>
          <w:p w:rsidR="00CB6840" w:rsidRDefault="00CB6840" w:rsidP="00CB6840">
            <w:pPr>
              <w:spacing w:after="0"/>
              <w:jc w:val="right"/>
              <w:rPr>
                <w:rFonts w:cs="Calibri"/>
              </w:rPr>
            </w:pPr>
            <w:r>
              <w:rPr>
                <w:rFonts w:cs="Calibri"/>
              </w:rPr>
              <w:t>265,925</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4.8%</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1.9%</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5.2%</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proofErr w:type="spellStart"/>
            <w:r>
              <w:rPr>
                <w:rFonts w:cs="Calibri"/>
                <w:color w:val="000000"/>
              </w:rPr>
              <w:t>MacKenzie</w:t>
            </w:r>
            <w:proofErr w:type="spellEnd"/>
          </w:p>
        </w:tc>
        <w:tc>
          <w:tcPr>
            <w:tcW w:w="1696" w:type="dxa"/>
            <w:shd w:val="clear" w:color="auto" w:fill="auto"/>
            <w:noWrap/>
            <w:vAlign w:val="bottom"/>
            <w:hideMark/>
          </w:tcPr>
          <w:p w:rsidR="00CB6840" w:rsidRDefault="00CB6840" w:rsidP="00CB6840">
            <w:pPr>
              <w:spacing w:after="0"/>
              <w:jc w:val="right"/>
              <w:rPr>
                <w:rFonts w:cs="Calibri"/>
                <w:i/>
                <w:iCs/>
              </w:rPr>
            </w:pPr>
            <w:r>
              <w:rPr>
                <w:rFonts w:cs="Calibri"/>
                <w:i/>
                <w:iCs/>
              </w:rPr>
              <w:t>279,484</w:t>
            </w:r>
          </w:p>
        </w:tc>
        <w:tc>
          <w:tcPr>
            <w:tcW w:w="1180" w:type="dxa"/>
            <w:shd w:val="clear" w:color="auto" w:fill="auto"/>
            <w:noWrap/>
            <w:vAlign w:val="bottom"/>
            <w:hideMark/>
          </w:tcPr>
          <w:p w:rsidR="00CB6840" w:rsidRDefault="00CB6840" w:rsidP="00CB6840">
            <w:pPr>
              <w:spacing w:after="0"/>
              <w:jc w:val="right"/>
              <w:rPr>
                <w:rFonts w:cs="Calibri"/>
                <w:i/>
                <w:iCs/>
              </w:rPr>
            </w:pPr>
            <w:r>
              <w:rPr>
                <w:rFonts w:cs="Calibri"/>
                <w:i/>
                <w:iCs/>
              </w:rPr>
              <w:t>8.3%</w:t>
            </w:r>
          </w:p>
        </w:tc>
        <w:tc>
          <w:tcPr>
            <w:tcW w:w="1240" w:type="dxa"/>
            <w:shd w:val="clear" w:color="auto" w:fill="auto"/>
            <w:noWrap/>
            <w:vAlign w:val="bottom"/>
            <w:hideMark/>
          </w:tcPr>
          <w:p w:rsidR="00CB6840" w:rsidRDefault="00CB6840" w:rsidP="00CB6840">
            <w:pPr>
              <w:spacing w:after="0"/>
              <w:jc w:val="right"/>
              <w:rPr>
                <w:rFonts w:cs="Calibri"/>
                <w:i/>
                <w:iCs/>
              </w:rPr>
            </w:pPr>
            <w:r>
              <w:rPr>
                <w:rFonts w:cs="Calibri"/>
                <w:i/>
                <w:iCs/>
              </w:rPr>
              <w:t>0.4%</w:t>
            </w:r>
          </w:p>
        </w:tc>
        <w:tc>
          <w:tcPr>
            <w:tcW w:w="2156" w:type="dxa"/>
            <w:shd w:val="clear" w:color="auto" w:fill="auto"/>
            <w:noWrap/>
            <w:vAlign w:val="bottom"/>
            <w:hideMark/>
          </w:tcPr>
          <w:p w:rsidR="00CB6840" w:rsidRDefault="00CB6840" w:rsidP="00CB6840">
            <w:pPr>
              <w:spacing w:after="0"/>
              <w:jc w:val="right"/>
              <w:rPr>
                <w:rFonts w:cs="Calibri"/>
                <w:i/>
                <w:iCs/>
              </w:rPr>
            </w:pPr>
            <w:r>
              <w:rPr>
                <w:rFonts w:cs="Calibri"/>
                <w:i/>
                <w:iCs/>
              </w:rPr>
              <w:t>-5.5%</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proofErr w:type="spellStart"/>
            <w:r>
              <w:rPr>
                <w:rFonts w:cs="Calibri"/>
                <w:color w:val="000000"/>
              </w:rPr>
              <w:t>Waimate</w:t>
            </w:r>
            <w:proofErr w:type="spellEnd"/>
          </w:p>
        </w:tc>
        <w:tc>
          <w:tcPr>
            <w:tcW w:w="1696" w:type="dxa"/>
            <w:shd w:val="clear" w:color="auto" w:fill="auto"/>
            <w:noWrap/>
            <w:vAlign w:val="bottom"/>
            <w:hideMark/>
          </w:tcPr>
          <w:p w:rsidR="00CB6840" w:rsidRDefault="00CB6840" w:rsidP="00CB6840">
            <w:pPr>
              <w:spacing w:after="0"/>
              <w:jc w:val="right"/>
              <w:rPr>
                <w:rFonts w:cs="Calibri"/>
                <w:i/>
                <w:iCs/>
              </w:rPr>
            </w:pPr>
            <w:r>
              <w:rPr>
                <w:rFonts w:cs="Calibri"/>
                <w:i/>
                <w:iCs/>
              </w:rPr>
              <w:t>188,233</w:t>
            </w:r>
          </w:p>
        </w:tc>
        <w:tc>
          <w:tcPr>
            <w:tcW w:w="1180" w:type="dxa"/>
            <w:shd w:val="clear" w:color="auto" w:fill="auto"/>
            <w:noWrap/>
            <w:vAlign w:val="bottom"/>
            <w:hideMark/>
          </w:tcPr>
          <w:p w:rsidR="00CB6840" w:rsidRDefault="00CB6840" w:rsidP="00CB6840">
            <w:pPr>
              <w:spacing w:after="0"/>
              <w:jc w:val="right"/>
              <w:rPr>
                <w:rFonts w:cs="Calibri"/>
                <w:i/>
                <w:iCs/>
              </w:rPr>
            </w:pPr>
            <w:r>
              <w:rPr>
                <w:rFonts w:cs="Calibri"/>
                <w:i/>
                <w:iCs/>
              </w:rPr>
              <w:t>7.1%</w:t>
            </w:r>
          </w:p>
        </w:tc>
        <w:tc>
          <w:tcPr>
            <w:tcW w:w="1240" w:type="dxa"/>
            <w:shd w:val="clear" w:color="auto" w:fill="auto"/>
            <w:noWrap/>
            <w:vAlign w:val="bottom"/>
            <w:hideMark/>
          </w:tcPr>
          <w:p w:rsidR="00CB6840" w:rsidRDefault="00CB6840" w:rsidP="00CB6840">
            <w:pPr>
              <w:spacing w:after="0"/>
              <w:jc w:val="right"/>
              <w:rPr>
                <w:rFonts w:cs="Calibri"/>
                <w:i/>
                <w:iCs/>
              </w:rPr>
            </w:pPr>
            <w:r>
              <w:rPr>
                <w:rFonts w:cs="Calibri"/>
                <w:i/>
                <w:iCs/>
              </w:rPr>
              <w:t>5.4%</w:t>
            </w:r>
          </w:p>
        </w:tc>
        <w:tc>
          <w:tcPr>
            <w:tcW w:w="2156" w:type="dxa"/>
            <w:shd w:val="clear" w:color="auto" w:fill="auto"/>
            <w:noWrap/>
            <w:vAlign w:val="bottom"/>
            <w:hideMark/>
          </w:tcPr>
          <w:p w:rsidR="00CB6840" w:rsidRDefault="00CB6840" w:rsidP="00CB6840">
            <w:pPr>
              <w:spacing w:after="0"/>
              <w:jc w:val="right"/>
              <w:rPr>
                <w:rFonts w:cs="Calibri"/>
                <w:i/>
                <w:iCs/>
              </w:rPr>
            </w:pPr>
            <w:r>
              <w:rPr>
                <w:rFonts w:cs="Calibri"/>
                <w:i/>
                <w:iCs/>
              </w:rPr>
              <w:t>-1.8%</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proofErr w:type="spellStart"/>
            <w:r>
              <w:rPr>
                <w:rFonts w:cs="Calibri"/>
                <w:color w:val="000000"/>
              </w:rPr>
              <w:t>Waitaki</w:t>
            </w:r>
            <w:proofErr w:type="spellEnd"/>
          </w:p>
        </w:tc>
        <w:tc>
          <w:tcPr>
            <w:tcW w:w="1696" w:type="dxa"/>
            <w:shd w:val="clear" w:color="auto" w:fill="auto"/>
            <w:noWrap/>
            <w:vAlign w:val="bottom"/>
            <w:hideMark/>
          </w:tcPr>
          <w:p w:rsidR="00CB6840" w:rsidRDefault="00CB6840" w:rsidP="00CB6840">
            <w:pPr>
              <w:spacing w:after="0"/>
              <w:jc w:val="right"/>
              <w:rPr>
                <w:rFonts w:cs="Calibri"/>
              </w:rPr>
            </w:pPr>
            <w:r>
              <w:rPr>
                <w:rFonts w:cs="Calibri"/>
              </w:rPr>
              <w:t>220,479</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4.9%</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4.0%</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-3.5%</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 xml:space="preserve">Central </w:t>
            </w:r>
            <w:proofErr w:type="spellStart"/>
            <w:r>
              <w:rPr>
                <w:rFonts w:cs="Calibri"/>
                <w:color w:val="000000"/>
              </w:rPr>
              <w:t>Otago</w:t>
            </w:r>
            <w:proofErr w:type="spellEnd"/>
          </w:p>
        </w:tc>
        <w:tc>
          <w:tcPr>
            <w:tcW w:w="1696" w:type="dxa"/>
            <w:shd w:val="clear" w:color="auto" w:fill="auto"/>
            <w:noWrap/>
            <w:vAlign w:val="bottom"/>
            <w:hideMark/>
          </w:tcPr>
          <w:p w:rsidR="00CB6840" w:rsidRDefault="00CB6840" w:rsidP="00CB6840">
            <w:pPr>
              <w:spacing w:after="0"/>
              <w:jc w:val="right"/>
              <w:rPr>
                <w:rFonts w:cs="Calibri"/>
              </w:rPr>
            </w:pPr>
            <w:r>
              <w:rPr>
                <w:rFonts w:cs="Calibri"/>
              </w:rPr>
              <w:t>298,162</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1.8%</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1.8%</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-6.1%</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Queenstown Lakes</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633,197</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4.5%</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1.9%</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-11.4%</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r>
              <w:rPr>
                <w:rFonts w:cs="Calibri"/>
                <w:color w:val="000000"/>
              </w:rPr>
              <w:t>#</w:t>
            </w: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Dunedin</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284,346</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4.2%</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0.2%</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-0.8%</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noWrap/>
            <w:vAlign w:val="bottom"/>
            <w:hideMark/>
          </w:tcPr>
          <w:p w:rsidR="00CB6840" w:rsidRDefault="00CB6840" w:rsidP="00CB6840">
            <w:pPr>
              <w:spacing w:after="0"/>
              <w:ind w:firstLineChars="200" w:firstLine="440"/>
              <w:rPr>
                <w:rFonts w:cs="Calibri"/>
                <w:color w:val="000000"/>
              </w:rPr>
            </w:pPr>
            <w:r>
              <w:rPr>
                <w:rFonts w:cs="Calibri"/>
                <w:color w:val="000000"/>
              </w:rPr>
              <w:t>Dunedin - Central &amp; North</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292,031</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3.7%</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-0.2%</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-3.2%</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noWrap/>
            <w:vAlign w:val="bottom"/>
            <w:hideMark/>
          </w:tcPr>
          <w:p w:rsidR="00CB6840" w:rsidRDefault="00CB6840" w:rsidP="00CB6840">
            <w:pPr>
              <w:spacing w:after="0"/>
              <w:ind w:firstLineChars="200" w:firstLine="440"/>
              <w:rPr>
                <w:rFonts w:cs="Calibri"/>
                <w:color w:val="000000"/>
              </w:rPr>
            </w:pPr>
            <w:r>
              <w:rPr>
                <w:rFonts w:cs="Calibri"/>
                <w:color w:val="000000"/>
              </w:rPr>
              <w:t>Dunedin - Peninsular &amp; Coastal</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257,928</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0.5%</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0.5%</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-4.7%</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noWrap/>
            <w:vAlign w:val="bottom"/>
            <w:hideMark/>
          </w:tcPr>
          <w:p w:rsidR="00CB6840" w:rsidRDefault="00CB6840" w:rsidP="00CB6840">
            <w:pPr>
              <w:spacing w:after="0"/>
              <w:ind w:firstLineChars="200" w:firstLine="440"/>
              <w:rPr>
                <w:rFonts w:cs="Calibri"/>
                <w:color w:val="000000"/>
              </w:rPr>
            </w:pPr>
            <w:r>
              <w:rPr>
                <w:rFonts w:cs="Calibri"/>
                <w:color w:val="000000"/>
              </w:rPr>
              <w:t>Dunedin - South</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277,305</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6.7%</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1.1%</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-2.9%</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noWrap/>
            <w:vAlign w:val="bottom"/>
            <w:hideMark/>
          </w:tcPr>
          <w:p w:rsidR="00CB6840" w:rsidRDefault="00CB6840" w:rsidP="00CB6840">
            <w:pPr>
              <w:spacing w:after="0"/>
              <w:ind w:firstLineChars="200" w:firstLine="440"/>
              <w:rPr>
                <w:rFonts w:cs="Calibri"/>
                <w:color w:val="000000"/>
              </w:rPr>
            </w:pPr>
            <w:r>
              <w:rPr>
                <w:rFonts w:cs="Calibri"/>
                <w:color w:val="000000"/>
              </w:rPr>
              <w:t xml:space="preserve">Dunedin - </w:t>
            </w:r>
            <w:proofErr w:type="spellStart"/>
            <w:r>
              <w:rPr>
                <w:rFonts w:cs="Calibri"/>
                <w:color w:val="000000"/>
              </w:rPr>
              <w:t>Taieri</w:t>
            </w:r>
            <w:proofErr w:type="spellEnd"/>
          </w:p>
        </w:tc>
        <w:tc>
          <w:tcPr>
            <w:tcW w:w="1696" w:type="dxa"/>
            <w:shd w:val="clear" w:color="auto" w:fill="auto"/>
            <w:noWrap/>
            <w:vAlign w:val="bottom"/>
            <w:hideMark/>
          </w:tcPr>
          <w:p w:rsidR="00CB6840" w:rsidRDefault="00CB6840" w:rsidP="00CB6840">
            <w:pPr>
              <w:spacing w:after="0"/>
              <w:jc w:val="right"/>
              <w:rPr>
                <w:rFonts w:cs="Calibri"/>
              </w:rPr>
            </w:pPr>
            <w:r>
              <w:rPr>
                <w:rFonts w:cs="Calibri"/>
              </w:rPr>
              <w:t>293,913</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4.3%</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0.4%</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0.0%</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Clutha</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163,758</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1.1%</w:t>
            </w:r>
          </w:p>
        </w:tc>
        <w:tc>
          <w:tcPr>
            <w:tcW w:w="1240" w:type="dxa"/>
            <w:shd w:val="clear" w:color="auto" w:fill="auto"/>
            <w:noWrap/>
            <w:vAlign w:val="bottom"/>
            <w:hideMark/>
          </w:tcPr>
          <w:p w:rsidR="00CB6840" w:rsidRDefault="00CB6840" w:rsidP="00CB6840">
            <w:pPr>
              <w:spacing w:after="0"/>
              <w:jc w:val="right"/>
              <w:rPr>
                <w:rFonts w:cs="Calibri"/>
              </w:rPr>
            </w:pPr>
            <w:r>
              <w:rPr>
                <w:rFonts w:cs="Calibri"/>
              </w:rPr>
              <w:t>-0.4%</w:t>
            </w:r>
          </w:p>
        </w:tc>
        <w:tc>
          <w:tcPr>
            <w:tcW w:w="2156" w:type="dxa"/>
            <w:shd w:val="clear" w:color="auto" w:fill="auto"/>
            <w:noWrap/>
            <w:vAlign w:val="bottom"/>
            <w:hideMark/>
          </w:tcPr>
          <w:p w:rsidR="00CB6840" w:rsidRDefault="00CB6840" w:rsidP="00CB6840">
            <w:pPr>
              <w:spacing w:after="0"/>
              <w:jc w:val="right"/>
              <w:rPr>
                <w:rFonts w:cs="Calibri"/>
              </w:rPr>
            </w:pPr>
            <w:r>
              <w:rPr>
                <w:rFonts w:cs="Calibri"/>
              </w:rPr>
              <w:t>-9.7%</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Southland</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208,487</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-2.2%</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1.5%</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-10.4%</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Gore</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183,355</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0.7%</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-0.2%</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3.7%</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r>
              <w:rPr>
                <w:rFonts w:cs="Calibri"/>
                <w:color w:val="000000"/>
              </w:rPr>
              <w:t>#</w:t>
            </w: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Invercargill</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208,188</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2.0%</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1.0%</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-7.2%</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p>
        </w:tc>
        <w:tc>
          <w:tcPr>
            <w:tcW w:w="1696" w:type="dxa"/>
            <w:shd w:val="clear" w:color="auto" w:fill="auto"/>
            <w:noWrap/>
            <w:vAlign w:val="bottom"/>
            <w:hideMark/>
          </w:tcPr>
          <w:p w:rsidR="00CB6840" w:rsidRDefault="00CB6840" w:rsidP="00CB6840">
            <w:pPr>
              <w:spacing w:after="0"/>
              <w:rPr>
                <w:rFonts w:cs="Calibri"/>
              </w:rPr>
            </w:pPr>
          </w:p>
        </w:tc>
        <w:tc>
          <w:tcPr>
            <w:tcW w:w="1180" w:type="dxa"/>
            <w:shd w:val="clear" w:color="auto" w:fill="auto"/>
            <w:vAlign w:val="bottom"/>
            <w:hideMark/>
          </w:tcPr>
          <w:p w:rsidR="00CB6840" w:rsidRDefault="00CB6840" w:rsidP="00CB6840">
            <w:pPr>
              <w:spacing w:after="0"/>
              <w:jc w:val="right"/>
              <w:rPr>
                <w:rFonts w:cs="Calibri"/>
                <w:color w:val="000000"/>
              </w:rPr>
            </w:pPr>
          </w:p>
        </w:tc>
        <w:tc>
          <w:tcPr>
            <w:tcW w:w="1240" w:type="dxa"/>
            <w:shd w:val="clear" w:color="auto" w:fill="auto"/>
            <w:noWrap/>
            <w:vAlign w:val="bottom"/>
            <w:hideMark/>
          </w:tcPr>
          <w:p w:rsidR="00CB6840" w:rsidRDefault="00CB6840" w:rsidP="00CB6840">
            <w:pPr>
              <w:spacing w:after="0"/>
              <w:rPr>
                <w:rFonts w:cs="Calibri"/>
                <w:color w:val="000000"/>
              </w:rPr>
            </w:pPr>
          </w:p>
        </w:tc>
        <w:tc>
          <w:tcPr>
            <w:tcW w:w="2156" w:type="dxa"/>
            <w:shd w:val="clear" w:color="auto" w:fill="auto"/>
            <w:noWrap/>
            <w:vAlign w:val="bottom"/>
            <w:hideMark/>
          </w:tcPr>
          <w:p w:rsidR="00CB6840" w:rsidRDefault="00CB6840" w:rsidP="00CB6840">
            <w:pPr>
              <w:spacing w:after="0"/>
              <w:rPr>
                <w:rFonts w:cs="Calibri"/>
                <w:color w:val="000000"/>
              </w:rPr>
            </w:pP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Auckland Area</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 xml:space="preserve">              640,106 </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12.7%</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3.5%</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17.0%</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Wellington Area</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 xml:space="preserve">              444,085 </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2.7%</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0.8%</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-3.5%</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r>
              <w:rPr>
                <w:rFonts w:cs="Calibri"/>
                <w:color w:val="000000"/>
              </w:rPr>
              <w:t>#</w:t>
            </w:r>
          </w:p>
        </w:tc>
        <w:tc>
          <w:tcPr>
            <w:tcW w:w="3694" w:type="dxa"/>
            <w:shd w:val="clear" w:color="auto" w:fill="auto"/>
            <w:vAlign w:val="bottom"/>
            <w:hideMark/>
          </w:tcPr>
          <w:p w:rsidR="00CB6840" w:rsidRDefault="00CB6840" w:rsidP="00CB6840">
            <w:pPr>
              <w:spacing w:after="0"/>
              <w:rPr>
                <w:rFonts w:cs="Calibri"/>
                <w:color w:val="000000"/>
              </w:rPr>
            </w:pPr>
            <w:r>
              <w:rPr>
                <w:rFonts w:cs="Calibri"/>
                <w:color w:val="000000"/>
              </w:rPr>
              <w:t>Main Urban Areas</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 xml:space="preserve">              501,364 </w:t>
            </w:r>
          </w:p>
        </w:tc>
        <w:tc>
          <w:tcPr>
            <w:tcW w:w="1180" w:type="dxa"/>
            <w:shd w:val="clear" w:color="auto" w:fill="auto"/>
            <w:noWrap/>
            <w:vAlign w:val="bottom"/>
            <w:hideMark/>
          </w:tcPr>
          <w:p w:rsidR="00CB6840" w:rsidRDefault="00CB6840" w:rsidP="00CB6840">
            <w:pPr>
              <w:spacing w:after="0"/>
              <w:jc w:val="right"/>
              <w:rPr>
                <w:rFonts w:cs="Calibri"/>
              </w:rPr>
            </w:pPr>
            <w:r>
              <w:rPr>
                <w:rFonts w:cs="Calibri"/>
              </w:rPr>
              <w:t>9.0%</w:t>
            </w:r>
          </w:p>
        </w:tc>
        <w:tc>
          <w:tcPr>
            <w:tcW w:w="1240"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2.3%</w:t>
            </w:r>
          </w:p>
        </w:tc>
        <w:tc>
          <w:tcPr>
            <w:tcW w:w="2156" w:type="dxa"/>
            <w:shd w:val="clear" w:color="auto" w:fill="auto"/>
            <w:noWrap/>
            <w:vAlign w:val="bottom"/>
            <w:hideMark/>
          </w:tcPr>
          <w:p w:rsidR="00CB6840" w:rsidRDefault="00CB6840" w:rsidP="00CB6840">
            <w:pPr>
              <w:spacing w:after="0"/>
              <w:jc w:val="right"/>
              <w:rPr>
                <w:rFonts w:cs="Calibri"/>
                <w:color w:val="000000"/>
              </w:rPr>
            </w:pPr>
            <w:r>
              <w:rPr>
                <w:rFonts w:cs="Calibri"/>
                <w:color w:val="000000"/>
              </w:rPr>
              <w:t>9.3%</w:t>
            </w:r>
          </w:p>
        </w:tc>
      </w:tr>
      <w:tr w:rsidR="00CB6840" w:rsidTr="00CB6840">
        <w:trPr>
          <w:trHeight w:val="300"/>
          <w:jc w:val="center"/>
        </w:trPr>
        <w:tc>
          <w:tcPr>
            <w:tcW w:w="522" w:type="dxa"/>
            <w:shd w:val="clear" w:color="auto" w:fill="auto"/>
            <w:vAlign w:val="bottom"/>
            <w:hideMark/>
          </w:tcPr>
          <w:p w:rsidR="00CB6840" w:rsidRDefault="00CB6840" w:rsidP="00CB6840">
            <w:pPr>
              <w:spacing w:after="0"/>
              <w:rPr>
                <w:rFonts w:cs="Calibri"/>
                <w:color w:val="000000"/>
              </w:rPr>
            </w:pPr>
          </w:p>
        </w:tc>
        <w:tc>
          <w:tcPr>
            <w:tcW w:w="3694" w:type="dxa"/>
            <w:shd w:val="clear" w:color="auto" w:fill="auto"/>
            <w:vAlign w:val="bottom"/>
            <w:hideMark/>
          </w:tcPr>
          <w:p w:rsidR="00CB6840" w:rsidRDefault="00CB6840" w:rsidP="00CB6840">
            <w:pPr>
              <w:spacing w:after="0"/>
              <w:rPr>
                <w:rFonts w:cs="Calibri"/>
                <w:b/>
                <w:bCs/>
                <w:color w:val="000000"/>
              </w:rPr>
            </w:pPr>
            <w:r>
              <w:rPr>
                <w:rFonts w:cs="Calibri"/>
                <w:b/>
                <w:bCs/>
                <w:color w:val="000000"/>
              </w:rPr>
              <w:t>Total NZ</w:t>
            </w:r>
          </w:p>
        </w:tc>
        <w:tc>
          <w:tcPr>
            <w:tcW w:w="1696" w:type="dxa"/>
            <w:shd w:val="clear" w:color="auto" w:fill="auto"/>
            <w:noWrap/>
            <w:vAlign w:val="bottom"/>
            <w:hideMark/>
          </w:tcPr>
          <w:p w:rsidR="00CB6840" w:rsidRDefault="00CB6840" w:rsidP="00CB6840">
            <w:pPr>
              <w:spacing w:after="0"/>
              <w:jc w:val="right"/>
              <w:rPr>
                <w:rFonts w:cs="Calibri"/>
              </w:rPr>
            </w:pPr>
            <w:r>
              <w:rPr>
                <w:rFonts w:cs="Calibri"/>
              </w:rPr>
              <w:t xml:space="preserve">              436,097 </w:t>
            </w:r>
          </w:p>
        </w:tc>
        <w:tc>
          <w:tcPr>
            <w:tcW w:w="1180" w:type="dxa"/>
            <w:shd w:val="clear" w:color="auto" w:fill="auto"/>
            <w:noWrap/>
            <w:vAlign w:val="bottom"/>
            <w:hideMark/>
          </w:tcPr>
          <w:p w:rsidR="00CB6840" w:rsidRDefault="00CB6840" w:rsidP="00CB6840">
            <w:pPr>
              <w:spacing w:after="0"/>
              <w:jc w:val="right"/>
              <w:rPr>
                <w:rFonts w:cs="Calibri"/>
                <w:b/>
                <w:bCs/>
              </w:rPr>
            </w:pPr>
            <w:r>
              <w:rPr>
                <w:rFonts w:cs="Calibri"/>
                <w:b/>
                <w:bCs/>
              </w:rPr>
              <w:t>7.1%</w:t>
            </w:r>
          </w:p>
        </w:tc>
        <w:tc>
          <w:tcPr>
            <w:tcW w:w="1240" w:type="dxa"/>
            <w:shd w:val="clear" w:color="auto" w:fill="auto"/>
            <w:noWrap/>
            <w:vAlign w:val="bottom"/>
            <w:hideMark/>
          </w:tcPr>
          <w:p w:rsidR="00CB6840" w:rsidRDefault="00CB6840" w:rsidP="00CB6840">
            <w:pPr>
              <w:spacing w:after="0"/>
              <w:jc w:val="right"/>
              <w:rPr>
                <w:rFonts w:cs="Calibri"/>
                <w:b/>
                <w:bCs/>
                <w:color w:val="000000"/>
              </w:rPr>
            </w:pPr>
            <w:r>
              <w:rPr>
                <w:rFonts w:cs="Calibri"/>
                <w:b/>
                <w:bCs/>
                <w:color w:val="000000"/>
              </w:rPr>
              <w:t>1.7%</w:t>
            </w:r>
          </w:p>
        </w:tc>
        <w:tc>
          <w:tcPr>
            <w:tcW w:w="2156" w:type="dxa"/>
            <w:shd w:val="clear" w:color="auto" w:fill="auto"/>
            <w:noWrap/>
            <w:vAlign w:val="bottom"/>
            <w:hideMark/>
          </w:tcPr>
          <w:p w:rsidR="00CB6840" w:rsidRDefault="00CB6840" w:rsidP="00CB6840">
            <w:pPr>
              <w:spacing w:after="0"/>
              <w:jc w:val="right"/>
              <w:rPr>
                <w:rFonts w:cs="Calibri"/>
                <w:b/>
                <w:bCs/>
                <w:color w:val="000000"/>
              </w:rPr>
            </w:pPr>
            <w:r>
              <w:rPr>
                <w:rFonts w:cs="Calibri"/>
                <w:b/>
                <w:bCs/>
                <w:color w:val="000000"/>
              </w:rPr>
              <w:t>5.0%</w:t>
            </w:r>
          </w:p>
        </w:tc>
      </w:tr>
      <w:tr w:rsidR="00CB6840" w:rsidTr="00CB6840">
        <w:trPr>
          <w:trHeight w:val="300"/>
          <w:jc w:val="center"/>
        </w:trPr>
        <w:tc>
          <w:tcPr>
            <w:tcW w:w="7092" w:type="dxa"/>
            <w:gridSpan w:val="4"/>
            <w:shd w:val="clear" w:color="auto" w:fill="auto"/>
            <w:vAlign w:val="bottom"/>
            <w:hideMark/>
          </w:tcPr>
          <w:p w:rsidR="00CB6840" w:rsidRDefault="00CB6840" w:rsidP="00CB6840">
            <w:pPr>
              <w:spacing w:after="0"/>
              <w:rPr>
                <w:rFonts w:ascii="Arial" w:hAnsi="Arial" w:cs="Arial"/>
                <w:color w:val="000000"/>
                <w:sz w:val="20"/>
                <w:szCs w:val="20"/>
              </w:rPr>
            </w:pPr>
          </w:p>
        </w:tc>
        <w:tc>
          <w:tcPr>
            <w:tcW w:w="1240" w:type="dxa"/>
            <w:shd w:val="clear" w:color="auto" w:fill="auto"/>
            <w:noWrap/>
            <w:vAlign w:val="bottom"/>
            <w:hideMark/>
          </w:tcPr>
          <w:p w:rsidR="00CB6840" w:rsidRDefault="00CB6840" w:rsidP="00CB6840">
            <w:pPr>
              <w:spacing w:after="0"/>
              <w:rPr>
                <w:rFonts w:ascii="Arial" w:hAnsi="Arial" w:cs="Arial"/>
                <w:color w:val="000000"/>
                <w:sz w:val="20"/>
                <w:szCs w:val="20"/>
              </w:rPr>
            </w:pPr>
          </w:p>
        </w:tc>
        <w:tc>
          <w:tcPr>
            <w:tcW w:w="2156" w:type="dxa"/>
            <w:shd w:val="clear" w:color="auto" w:fill="auto"/>
            <w:noWrap/>
            <w:vAlign w:val="bottom"/>
            <w:hideMark/>
          </w:tcPr>
          <w:p w:rsidR="00CB6840" w:rsidRDefault="00CB6840" w:rsidP="00CB6840">
            <w:pPr>
              <w:spacing w:after="0"/>
              <w:rPr>
                <w:rFonts w:ascii="Arial" w:hAnsi="Arial" w:cs="Arial"/>
                <w:color w:val="000000"/>
                <w:sz w:val="20"/>
                <w:szCs w:val="20"/>
              </w:rPr>
            </w:pPr>
          </w:p>
        </w:tc>
      </w:tr>
      <w:tr w:rsidR="00CB6840" w:rsidTr="00CB6840">
        <w:trPr>
          <w:trHeight w:val="255"/>
          <w:jc w:val="center"/>
        </w:trPr>
        <w:tc>
          <w:tcPr>
            <w:tcW w:w="7092" w:type="dxa"/>
            <w:gridSpan w:val="4"/>
            <w:shd w:val="clear" w:color="auto" w:fill="auto"/>
            <w:hideMark/>
          </w:tcPr>
          <w:p w:rsidR="00CB6840" w:rsidRDefault="00CB6840" w:rsidP="00CB6840">
            <w:pPr>
              <w:spacing w:after="0"/>
              <w:rPr>
                <w:rFonts w:ascii="Arial" w:hAnsi="Arial" w:cs="Arial"/>
                <w:b/>
                <w:bCs/>
                <w:color w:val="000000"/>
                <w:sz w:val="20"/>
                <w:szCs w:val="20"/>
              </w:rPr>
            </w:pPr>
            <w:r>
              <w:rPr>
                <w:rFonts w:ascii="Arial" w:hAnsi="Arial" w:cs="Arial"/>
                <w:b/>
                <w:bCs/>
                <w:color w:val="000000"/>
                <w:sz w:val="20"/>
                <w:szCs w:val="20"/>
              </w:rPr>
              <w:t>Notes on the above data:</w:t>
            </w:r>
          </w:p>
        </w:tc>
        <w:tc>
          <w:tcPr>
            <w:tcW w:w="1240" w:type="dxa"/>
            <w:shd w:val="clear" w:color="auto" w:fill="auto"/>
            <w:noWrap/>
            <w:vAlign w:val="bottom"/>
            <w:hideMark/>
          </w:tcPr>
          <w:p w:rsidR="00CB6840" w:rsidRDefault="00CB6840" w:rsidP="00CB6840">
            <w:pPr>
              <w:spacing w:after="0"/>
              <w:rPr>
                <w:rFonts w:ascii="Arial" w:hAnsi="Arial" w:cs="Arial"/>
                <w:color w:val="000000"/>
                <w:sz w:val="20"/>
                <w:szCs w:val="20"/>
              </w:rPr>
            </w:pPr>
          </w:p>
        </w:tc>
        <w:tc>
          <w:tcPr>
            <w:tcW w:w="2156" w:type="dxa"/>
            <w:shd w:val="clear" w:color="auto" w:fill="auto"/>
            <w:noWrap/>
            <w:vAlign w:val="bottom"/>
            <w:hideMark/>
          </w:tcPr>
          <w:p w:rsidR="00CB6840" w:rsidRDefault="00CB6840" w:rsidP="00CB6840">
            <w:pPr>
              <w:spacing w:after="0"/>
              <w:rPr>
                <w:rFonts w:ascii="Arial" w:hAnsi="Arial" w:cs="Arial"/>
                <w:color w:val="000000"/>
                <w:sz w:val="20"/>
                <w:szCs w:val="20"/>
              </w:rPr>
            </w:pPr>
          </w:p>
        </w:tc>
      </w:tr>
      <w:tr w:rsidR="00CB6840" w:rsidTr="00CB6840">
        <w:trPr>
          <w:trHeight w:val="765"/>
          <w:jc w:val="center"/>
        </w:trPr>
        <w:tc>
          <w:tcPr>
            <w:tcW w:w="10488" w:type="dxa"/>
            <w:gridSpan w:val="6"/>
            <w:shd w:val="clear" w:color="auto" w:fill="auto"/>
            <w:hideMark/>
          </w:tcPr>
          <w:p w:rsidR="00CB6840" w:rsidRDefault="00CB6840" w:rsidP="00CB6840">
            <w:pPr>
              <w:spacing w:after="0"/>
              <w:rPr>
                <w:rFonts w:ascii="Arial" w:hAnsi="Arial" w:cs="Arial"/>
                <w:color w:val="000000"/>
                <w:sz w:val="20"/>
                <w:szCs w:val="20"/>
              </w:rPr>
            </w:pPr>
            <w:r>
              <w:rPr>
                <w:rFonts w:ascii="Arial" w:hAnsi="Arial" w:cs="Arial"/>
                <w:color w:val="000000"/>
                <w:sz w:val="20"/>
                <w:szCs w:val="20"/>
              </w:rPr>
              <w:t xml:space="preserve">1. The information included in the above table is based on the monthly property value index. This index is calculated based on the sales data entered into </w:t>
            </w:r>
            <w:proofErr w:type="spellStart"/>
            <w:r>
              <w:rPr>
                <w:rFonts w:ascii="Arial" w:hAnsi="Arial" w:cs="Arial"/>
                <w:color w:val="000000"/>
                <w:sz w:val="20"/>
                <w:szCs w:val="20"/>
              </w:rPr>
              <w:t>PropertyIQ's</w:t>
            </w:r>
            <w:proofErr w:type="spellEnd"/>
            <w:r>
              <w:rPr>
                <w:rFonts w:ascii="Arial" w:hAnsi="Arial" w:cs="Arial"/>
                <w:color w:val="000000"/>
                <w:sz w:val="20"/>
                <w:szCs w:val="20"/>
              </w:rPr>
              <w:t xml:space="preserve"> system in the previous 3 month period. For example, information for the period ending June will be calculated based on sales entered between April 1 and June 30.</w:t>
            </w:r>
          </w:p>
        </w:tc>
      </w:tr>
      <w:tr w:rsidR="00CB6840" w:rsidTr="00CB6840">
        <w:trPr>
          <w:trHeight w:val="765"/>
          <w:jc w:val="center"/>
        </w:trPr>
        <w:tc>
          <w:tcPr>
            <w:tcW w:w="10488" w:type="dxa"/>
            <w:gridSpan w:val="6"/>
            <w:shd w:val="clear" w:color="auto" w:fill="auto"/>
            <w:hideMark/>
          </w:tcPr>
          <w:p w:rsidR="00CB6840" w:rsidRDefault="00CB6840" w:rsidP="00CB6840">
            <w:pPr>
              <w:spacing w:after="0"/>
              <w:rPr>
                <w:rFonts w:ascii="Arial" w:hAnsi="Arial" w:cs="Arial"/>
                <w:color w:val="000000"/>
                <w:sz w:val="20"/>
                <w:szCs w:val="20"/>
              </w:rPr>
            </w:pPr>
            <w:r>
              <w:rPr>
                <w:rFonts w:ascii="Arial" w:hAnsi="Arial" w:cs="Arial"/>
                <w:color w:val="000000"/>
                <w:sz w:val="20"/>
                <w:szCs w:val="20"/>
              </w:rPr>
              <w:t xml:space="preserve">2. The average current value is the average (mean) value of all developed residential properties in the area based on the latest index. It is not an average or median sales price, as both of </w:t>
            </w:r>
            <w:proofErr w:type="gramStart"/>
            <w:r>
              <w:rPr>
                <w:rFonts w:ascii="Arial" w:hAnsi="Arial" w:cs="Arial"/>
                <w:color w:val="000000"/>
                <w:sz w:val="20"/>
                <w:szCs w:val="20"/>
              </w:rPr>
              <w:t>those only measure</w:t>
            </w:r>
            <w:proofErr w:type="gramEnd"/>
            <w:r>
              <w:rPr>
                <w:rFonts w:ascii="Arial" w:hAnsi="Arial" w:cs="Arial"/>
                <w:color w:val="000000"/>
                <w:sz w:val="20"/>
                <w:szCs w:val="20"/>
              </w:rPr>
              <w:t xml:space="preserve"> what happens to have sold in the period.</w:t>
            </w:r>
          </w:p>
        </w:tc>
      </w:tr>
      <w:tr w:rsidR="00CB6840" w:rsidTr="00CB6840">
        <w:trPr>
          <w:trHeight w:val="555"/>
          <w:jc w:val="center"/>
        </w:trPr>
        <w:tc>
          <w:tcPr>
            <w:tcW w:w="10488" w:type="dxa"/>
            <w:gridSpan w:val="6"/>
            <w:shd w:val="clear" w:color="auto" w:fill="auto"/>
            <w:hideMark/>
          </w:tcPr>
          <w:p w:rsidR="00CB6840" w:rsidRDefault="00CB6840" w:rsidP="00CB6840">
            <w:pPr>
              <w:spacing w:after="0"/>
              <w:rPr>
                <w:rFonts w:ascii="Arial" w:hAnsi="Arial" w:cs="Arial"/>
                <w:color w:val="000000"/>
                <w:sz w:val="20"/>
                <w:szCs w:val="20"/>
              </w:rPr>
            </w:pPr>
            <w:r>
              <w:rPr>
                <w:rFonts w:ascii="Arial" w:hAnsi="Arial" w:cs="Arial"/>
                <w:color w:val="000000"/>
                <w:sz w:val="20"/>
                <w:szCs w:val="20"/>
              </w:rPr>
              <w:t>3.  The percentage change over three months, twelve months and since the 2007 market peak are based on the change in the property value index between that time and the current.</w:t>
            </w:r>
          </w:p>
        </w:tc>
      </w:tr>
      <w:tr w:rsidR="00CB6840" w:rsidTr="00CB6840">
        <w:trPr>
          <w:trHeight w:val="840"/>
          <w:jc w:val="center"/>
        </w:trPr>
        <w:tc>
          <w:tcPr>
            <w:tcW w:w="10488" w:type="dxa"/>
            <w:gridSpan w:val="6"/>
            <w:shd w:val="clear" w:color="auto" w:fill="auto"/>
            <w:hideMark/>
          </w:tcPr>
          <w:p w:rsidR="00CB6840" w:rsidRDefault="00CB6840" w:rsidP="00CB6840">
            <w:pPr>
              <w:spacing w:after="0"/>
              <w:rPr>
                <w:rFonts w:ascii="Arial" w:hAnsi="Arial" w:cs="Arial"/>
                <w:color w:val="000000"/>
                <w:sz w:val="20"/>
                <w:szCs w:val="20"/>
              </w:rPr>
            </w:pPr>
            <w:r>
              <w:rPr>
                <w:rFonts w:ascii="Arial" w:hAnsi="Arial" w:cs="Arial"/>
                <w:color w:val="000000"/>
                <w:sz w:val="20"/>
                <w:szCs w:val="20"/>
              </w:rPr>
              <w:t>4. Any of the statistical data shown in italics are calculated based on a sample set of data that is less than the recommended minimum. These results should be used with caution. Those showing N/A had too few sales to generate an index</w:t>
            </w:r>
          </w:p>
        </w:tc>
      </w:tr>
    </w:tbl>
    <w:p w:rsidR="00EB55A1" w:rsidRDefault="00EB55A1" w:rsidP="00DB0C2F">
      <w:pPr>
        <w:spacing w:after="0" w:line="240" w:lineRule="auto"/>
        <w:jc w:val="both"/>
      </w:pPr>
    </w:p>
    <w:sectPr w:rsidR="00EB55A1" w:rsidSect="00661390">
      <w:pgSz w:w="11906" w:h="16838"/>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3275"/>
    <w:multiLevelType w:val="hybridMultilevel"/>
    <w:tmpl w:val="CD4092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nsid w:val="0B614164"/>
    <w:multiLevelType w:val="hybridMultilevel"/>
    <w:tmpl w:val="A8AC4A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E6F222C"/>
    <w:multiLevelType w:val="hybridMultilevel"/>
    <w:tmpl w:val="3BB859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nsid w:val="36AA67F0"/>
    <w:multiLevelType w:val="hybridMultilevel"/>
    <w:tmpl w:val="99DE6FA4"/>
    <w:lvl w:ilvl="0" w:tplc="3D2C3C96">
      <w:numFmt w:val="bullet"/>
      <w:lvlText w:val="·"/>
      <w:lvlJc w:val="left"/>
      <w:pPr>
        <w:ind w:left="855" w:hanging="495"/>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547259C1"/>
    <w:multiLevelType w:val="hybridMultilevel"/>
    <w:tmpl w:val="13C48C0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nsid w:val="66144B1F"/>
    <w:multiLevelType w:val="hybridMultilevel"/>
    <w:tmpl w:val="67583B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690F29E6"/>
    <w:multiLevelType w:val="hybridMultilevel"/>
    <w:tmpl w:val="3CBC87D2"/>
    <w:lvl w:ilvl="0" w:tplc="74D46CDC">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2"/>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compat/>
  <w:rsids>
    <w:rsidRoot w:val="002D4221"/>
    <w:rsid w:val="000050F0"/>
    <w:rsid w:val="00005B6D"/>
    <w:rsid w:val="00006846"/>
    <w:rsid w:val="00007F9D"/>
    <w:rsid w:val="00014DD5"/>
    <w:rsid w:val="000163D2"/>
    <w:rsid w:val="00016FEE"/>
    <w:rsid w:val="000214CA"/>
    <w:rsid w:val="000271DC"/>
    <w:rsid w:val="00027B27"/>
    <w:rsid w:val="00031B27"/>
    <w:rsid w:val="00035914"/>
    <w:rsid w:val="0003737F"/>
    <w:rsid w:val="0004514C"/>
    <w:rsid w:val="000456CF"/>
    <w:rsid w:val="00045F58"/>
    <w:rsid w:val="00047456"/>
    <w:rsid w:val="00050256"/>
    <w:rsid w:val="000507BC"/>
    <w:rsid w:val="000534A3"/>
    <w:rsid w:val="0006250A"/>
    <w:rsid w:val="00066E0D"/>
    <w:rsid w:val="00073A93"/>
    <w:rsid w:val="00075034"/>
    <w:rsid w:val="00080607"/>
    <w:rsid w:val="00081156"/>
    <w:rsid w:val="00081E5E"/>
    <w:rsid w:val="000834A2"/>
    <w:rsid w:val="00086027"/>
    <w:rsid w:val="00092518"/>
    <w:rsid w:val="00092AE6"/>
    <w:rsid w:val="00093297"/>
    <w:rsid w:val="00094231"/>
    <w:rsid w:val="00097374"/>
    <w:rsid w:val="0009757A"/>
    <w:rsid w:val="000A50C4"/>
    <w:rsid w:val="000A697D"/>
    <w:rsid w:val="000A761E"/>
    <w:rsid w:val="000A774B"/>
    <w:rsid w:val="000B331B"/>
    <w:rsid w:val="000B372C"/>
    <w:rsid w:val="000B6462"/>
    <w:rsid w:val="000B65FC"/>
    <w:rsid w:val="000B7CD2"/>
    <w:rsid w:val="000C1445"/>
    <w:rsid w:val="000C4DDD"/>
    <w:rsid w:val="000D3918"/>
    <w:rsid w:val="000D3C4B"/>
    <w:rsid w:val="000D740D"/>
    <w:rsid w:val="000E1532"/>
    <w:rsid w:val="000E7ED4"/>
    <w:rsid w:val="000F5CCC"/>
    <w:rsid w:val="000F7C0F"/>
    <w:rsid w:val="000F7CC2"/>
    <w:rsid w:val="00110B5C"/>
    <w:rsid w:val="00111B71"/>
    <w:rsid w:val="00113A7B"/>
    <w:rsid w:val="00115BE7"/>
    <w:rsid w:val="001178B0"/>
    <w:rsid w:val="00121D9F"/>
    <w:rsid w:val="00123D98"/>
    <w:rsid w:val="00124148"/>
    <w:rsid w:val="00125EE5"/>
    <w:rsid w:val="00126A59"/>
    <w:rsid w:val="00126EF9"/>
    <w:rsid w:val="00127352"/>
    <w:rsid w:val="001345C7"/>
    <w:rsid w:val="00136B25"/>
    <w:rsid w:val="0014530B"/>
    <w:rsid w:val="0014723D"/>
    <w:rsid w:val="001474AC"/>
    <w:rsid w:val="0015052C"/>
    <w:rsid w:val="0015280A"/>
    <w:rsid w:val="00153CFC"/>
    <w:rsid w:val="001558BE"/>
    <w:rsid w:val="00155C2E"/>
    <w:rsid w:val="00156402"/>
    <w:rsid w:val="00164BA6"/>
    <w:rsid w:val="00165BE1"/>
    <w:rsid w:val="001671E8"/>
    <w:rsid w:val="00181141"/>
    <w:rsid w:val="00184A70"/>
    <w:rsid w:val="0018717B"/>
    <w:rsid w:val="00191785"/>
    <w:rsid w:val="00193B66"/>
    <w:rsid w:val="00194009"/>
    <w:rsid w:val="00194436"/>
    <w:rsid w:val="001959EB"/>
    <w:rsid w:val="001A0DCD"/>
    <w:rsid w:val="001A0FFB"/>
    <w:rsid w:val="001A2622"/>
    <w:rsid w:val="001A2CC2"/>
    <w:rsid w:val="001A4C46"/>
    <w:rsid w:val="001A5C76"/>
    <w:rsid w:val="001B6C3F"/>
    <w:rsid w:val="001B7F73"/>
    <w:rsid w:val="001C1153"/>
    <w:rsid w:val="001C3538"/>
    <w:rsid w:val="001C400D"/>
    <w:rsid w:val="001C61CF"/>
    <w:rsid w:val="001D1BE5"/>
    <w:rsid w:val="001D7DFF"/>
    <w:rsid w:val="001E5F70"/>
    <w:rsid w:val="001F1837"/>
    <w:rsid w:val="001F6A79"/>
    <w:rsid w:val="00207AF3"/>
    <w:rsid w:val="002111DB"/>
    <w:rsid w:val="00211995"/>
    <w:rsid w:val="00211D2B"/>
    <w:rsid w:val="00216B02"/>
    <w:rsid w:val="00221616"/>
    <w:rsid w:val="00222649"/>
    <w:rsid w:val="0023172C"/>
    <w:rsid w:val="00232259"/>
    <w:rsid w:val="00233ACD"/>
    <w:rsid w:val="002343C8"/>
    <w:rsid w:val="002407E0"/>
    <w:rsid w:val="00241704"/>
    <w:rsid w:val="002421F6"/>
    <w:rsid w:val="0024384A"/>
    <w:rsid w:val="0024480B"/>
    <w:rsid w:val="00244D66"/>
    <w:rsid w:val="00244F68"/>
    <w:rsid w:val="00245F3B"/>
    <w:rsid w:val="00247066"/>
    <w:rsid w:val="00250FB8"/>
    <w:rsid w:val="002529BF"/>
    <w:rsid w:val="00256AEB"/>
    <w:rsid w:val="00263267"/>
    <w:rsid w:val="00264FBE"/>
    <w:rsid w:val="00266E33"/>
    <w:rsid w:val="00267393"/>
    <w:rsid w:val="00272502"/>
    <w:rsid w:val="00273AB1"/>
    <w:rsid w:val="00274A2D"/>
    <w:rsid w:val="00280BD2"/>
    <w:rsid w:val="00282980"/>
    <w:rsid w:val="002850D4"/>
    <w:rsid w:val="002860B3"/>
    <w:rsid w:val="00296D07"/>
    <w:rsid w:val="002A125F"/>
    <w:rsid w:val="002B0789"/>
    <w:rsid w:val="002B32D9"/>
    <w:rsid w:val="002B74E3"/>
    <w:rsid w:val="002C0CCC"/>
    <w:rsid w:val="002C1149"/>
    <w:rsid w:val="002C7C62"/>
    <w:rsid w:val="002D0ADB"/>
    <w:rsid w:val="002D4221"/>
    <w:rsid w:val="002D425E"/>
    <w:rsid w:val="002E4391"/>
    <w:rsid w:val="002F43C8"/>
    <w:rsid w:val="002F4897"/>
    <w:rsid w:val="002F5BD7"/>
    <w:rsid w:val="002F7C75"/>
    <w:rsid w:val="00301B94"/>
    <w:rsid w:val="00302D14"/>
    <w:rsid w:val="00305626"/>
    <w:rsid w:val="003131DE"/>
    <w:rsid w:val="003132E2"/>
    <w:rsid w:val="00314E4B"/>
    <w:rsid w:val="00315988"/>
    <w:rsid w:val="00316861"/>
    <w:rsid w:val="00316F9D"/>
    <w:rsid w:val="0031790E"/>
    <w:rsid w:val="00320C14"/>
    <w:rsid w:val="00320ECB"/>
    <w:rsid w:val="00321E65"/>
    <w:rsid w:val="00322F1F"/>
    <w:rsid w:val="00325B01"/>
    <w:rsid w:val="00325E15"/>
    <w:rsid w:val="00325F91"/>
    <w:rsid w:val="003263DD"/>
    <w:rsid w:val="00327D1C"/>
    <w:rsid w:val="003301AF"/>
    <w:rsid w:val="003312E7"/>
    <w:rsid w:val="003314D3"/>
    <w:rsid w:val="00331715"/>
    <w:rsid w:val="00336F39"/>
    <w:rsid w:val="003411FA"/>
    <w:rsid w:val="00344D2D"/>
    <w:rsid w:val="00351654"/>
    <w:rsid w:val="0035196E"/>
    <w:rsid w:val="00351B45"/>
    <w:rsid w:val="00354F07"/>
    <w:rsid w:val="00356AB1"/>
    <w:rsid w:val="003575A5"/>
    <w:rsid w:val="00357E9B"/>
    <w:rsid w:val="00361DB6"/>
    <w:rsid w:val="00366EA0"/>
    <w:rsid w:val="0037740C"/>
    <w:rsid w:val="00385471"/>
    <w:rsid w:val="003907F7"/>
    <w:rsid w:val="0039380B"/>
    <w:rsid w:val="003939CF"/>
    <w:rsid w:val="00394B8B"/>
    <w:rsid w:val="00395115"/>
    <w:rsid w:val="003958FE"/>
    <w:rsid w:val="00397C97"/>
    <w:rsid w:val="003A08AB"/>
    <w:rsid w:val="003A5E90"/>
    <w:rsid w:val="003A7E5E"/>
    <w:rsid w:val="003B0448"/>
    <w:rsid w:val="003B0F17"/>
    <w:rsid w:val="003B26B2"/>
    <w:rsid w:val="003B378C"/>
    <w:rsid w:val="003B3B29"/>
    <w:rsid w:val="003C1418"/>
    <w:rsid w:val="003C4A77"/>
    <w:rsid w:val="003C5492"/>
    <w:rsid w:val="003D2095"/>
    <w:rsid w:val="003D71C3"/>
    <w:rsid w:val="003D7BE5"/>
    <w:rsid w:val="003E00DB"/>
    <w:rsid w:val="003E4A7A"/>
    <w:rsid w:val="003E6E33"/>
    <w:rsid w:val="003F0CF6"/>
    <w:rsid w:val="003F37D0"/>
    <w:rsid w:val="003F766D"/>
    <w:rsid w:val="0040011C"/>
    <w:rsid w:val="004007F2"/>
    <w:rsid w:val="004024A6"/>
    <w:rsid w:val="004076E4"/>
    <w:rsid w:val="00407F3C"/>
    <w:rsid w:val="00410A23"/>
    <w:rsid w:val="004112FE"/>
    <w:rsid w:val="004137C5"/>
    <w:rsid w:val="00414FF3"/>
    <w:rsid w:val="00426631"/>
    <w:rsid w:val="00426E65"/>
    <w:rsid w:val="0043715F"/>
    <w:rsid w:val="00442230"/>
    <w:rsid w:val="00446931"/>
    <w:rsid w:val="004526D2"/>
    <w:rsid w:val="004539F9"/>
    <w:rsid w:val="00464E22"/>
    <w:rsid w:val="00465A77"/>
    <w:rsid w:val="004723E7"/>
    <w:rsid w:val="00477D89"/>
    <w:rsid w:val="00481070"/>
    <w:rsid w:val="00481934"/>
    <w:rsid w:val="00490CE8"/>
    <w:rsid w:val="004939F5"/>
    <w:rsid w:val="00493BD4"/>
    <w:rsid w:val="00494951"/>
    <w:rsid w:val="00497794"/>
    <w:rsid w:val="004A0135"/>
    <w:rsid w:val="004A20AF"/>
    <w:rsid w:val="004A4770"/>
    <w:rsid w:val="004A51A4"/>
    <w:rsid w:val="004A7827"/>
    <w:rsid w:val="004B1479"/>
    <w:rsid w:val="004B1992"/>
    <w:rsid w:val="004B3D4C"/>
    <w:rsid w:val="004B4385"/>
    <w:rsid w:val="004B58C9"/>
    <w:rsid w:val="004B6924"/>
    <w:rsid w:val="004C22D0"/>
    <w:rsid w:val="004C2BD5"/>
    <w:rsid w:val="004C3C75"/>
    <w:rsid w:val="004C529B"/>
    <w:rsid w:val="004C7550"/>
    <w:rsid w:val="004D104E"/>
    <w:rsid w:val="004D2794"/>
    <w:rsid w:val="004D57C7"/>
    <w:rsid w:val="004E1630"/>
    <w:rsid w:val="004E24FA"/>
    <w:rsid w:val="004F2318"/>
    <w:rsid w:val="00500E76"/>
    <w:rsid w:val="00503E39"/>
    <w:rsid w:val="0050647C"/>
    <w:rsid w:val="005064DA"/>
    <w:rsid w:val="00507728"/>
    <w:rsid w:val="00512A93"/>
    <w:rsid w:val="00512FEB"/>
    <w:rsid w:val="005142EA"/>
    <w:rsid w:val="005214E2"/>
    <w:rsid w:val="00521D45"/>
    <w:rsid w:val="00526638"/>
    <w:rsid w:val="00531BDC"/>
    <w:rsid w:val="005350E8"/>
    <w:rsid w:val="0053635E"/>
    <w:rsid w:val="00536749"/>
    <w:rsid w:val="00536941"/>
    <w:rsid w:val="005376EA"/>
    <w:rsid w:val="0054126C"/>
    <w:rsid w:val="00545336"/>
    <w:rsid w:val="005459C3"/>
    <w:rsid w:val="00545C25"/>
    <w:rsid w:val="00553CB7"/>
    <w:rsid w:val="005541AA"/>
    <w:rsid w:val="00556796"/>
    <w:rsid w:val="0056099F"/>
    <w:rsid w:val="00560ADE"/>
    <w:rsid w:val="00560D87"/>
    <w:rsid w:val="00561AC3"/>
    <w:rsid w:val="00562F82"/>
    <w:rsid w:val="00566A54"/>
    <w:rsid w:val="00570411"/>
    <w:rsid w:val="00573D9E"/>
    <w:rsid w:val="00576D39"/>
    <w:rsid w:val="00577483"/>
    <w:rsid w:val="00580594"/>
    <w:rsid w:val="005862F0"/>
    <w:rsid w:val="00595EBA"/>
    <w:rsid w:val="005977D9"/>
    <w:rsid w:val="005A1830"/>
    <w:rsid w:val="005A20CE"/>
    <w:rsid w:val="005B05EB"/>
    <w:rsid w:val="005B166B"/>
    <w:rsid w:val="005C110B"/>
    <w:rsid w:val="005C23EC"/>
    <w:rsid w:val="005D39DB"/>
    <w:rsid w:val="005D50B1"/>
    <w:rsid w:val="005F3BAF"/>
    <w:rsid w:val="005F4535"/>
    <w:rsid w:val="005F5816"/>
    <w:rsid w:val="006000E3"/>
    <w:rsid w:val="0060353F"/>
    <w:rsid w:val="00606C3B"/>
    <w:rsid w:val="006079A8"/>
    <w:rsid w:val="006104B0"/>
    <w:rsid w:val="0061589A"/>
    <w:rsid w:val="00620411"/>
    <w:rsid w:val="00620BAD"/>
    <w:rsid w:val="0062398C"/>
    <w:rsid w:val="0062496E"/>
    <w:rsid w:val="0062667C"/>
    <w:rsid w:val="00630158"/>
    <w:rsid w:val="00631B7D"/>
    <w:rsid w:val="006323EA"/>
    <w:rsid w:val="00634650"/>
    <w:rsid w:val="006358BB"/>
    <w:rsid w:val="00635E7C"/>
    <w:rsid w:val="00637A97"/>
    <w:rsid w:val="0064007A"/>
    <w:rsid w:val="00640591"/>
    <w:rsid w:val="006405D0"/>
    <w:rsid w:val="00642249"/>
    <w:rsid w:val="006450E7"/>
    <w:rsid w:val="00646270"/>
    <w:rsid w:val="006523B2"/>
    <w:rsid w:val="006544E3"/>
    <w:rsid w:val="00655F4B"/>
    <w:rsid w:val="00657E93"/>
    <w:rsid w:val="00661390"/>
    <w:rsid w:val="00661A7D"/>
    <w:rsid w:val="0066623E"/>
    <w:rsid w:val="006671D1"/>
    <w:rsid w:val="0066773F"/>
    <w:rsid w:val="0067015E"/>
    <w:rsid w:val="006711A3"/>
    <w:rsid w:val="006777FE"/>
    <w:rsid w:val="006808EA"/>
    <w:rsid w:val="00681235"/>
    <w:rsid w:val="00682CA1"/>
    <w:rsid w:val="00684A2B"/>
    <w:rsid w:val="006850DB"/>
    <w:rsid w:val="00690F4E"/>
    <w:rsid w:val="0069176E"/>
    <w:rsid w:val="006A276C"/>
    <w:rsid w:val="006A7A03"/>
    <w:rsid w:val="006B0A97"/>
    <w:rsid w:val="006B4912"/>
    <w:rsid w:val="006B6350"/>
    <w:rsid w:val="006B723E"/>
    <w:rsid w:val="006C0F63"/>
    <w:rsid w:val="006C21AE"/>
    <w:rsid w:val="006C6DAA"/>
    <w:rsid w:val="006D09A7"/>
    <w:rsid w:val="006D482F"/>
    <w:rsid w:val="006D5E8D"/>
    <w:rsid w:val="006E04CF"/>
    <w:rsid w:val="006E17BD"/>
    <w:rsid w:val="006E6DAD"/>
    <w:rsid w:val="006F321D"/>
    <w:rsid w:val="006F750D"/>
    <w:rsid w:val="007001D3"/>
    <w:rsid w:val="00700352"/>
    <w:rsid w:val="00703969"/>
    <w:rsid w:val="007048B0"/>
    <w:rsid w:val="00705656"/>
    <w:rsid w:val="00707D9D"/>
    <w:rsid w:val="007114B8"/>
    <w:rsid w:val="00714495"/>
    <w:rsid w:val="00714AA9"/>
    <w:rsid w:val="00717A4B"/>
    <w:rsid w:val="00717ED3"/>
    <w:rsid w:val="007216CF"/>
    <w:rsid w:val="00724E81"/>
    <w:rsid w:val="00726036"/>
    <w:rsid w:val="00730A84"/>
    <w:rsid w:val="00731222"/>
    <w:rsid w:val="007353D1"/>
    <w:rsid w:val="0073704E"/>
    <w:rsid w:val="00741CCB"/>
    <w:rsid w:val="00741D2F"/>
    <w:rsid w:val="007466DC"/>
    <w:rsid w:val="00750588"/>
    <w:rsid w:val="00751917"/>
    <w:rsid w:val="00752A0C"/>
    <w:rsid w:val="00752A91"/>
    <w:rsid w:val="00753162"/>
    <w:rsid w:val="007537D5"/>
    <w:rsid w:val="00753855"/>
    <w:rsid w:val="0075497E"/>
    <w:rsid w:val="007718D7"/>
    <w:rsid w:val="00773A8D"/>
    <w:rsid w:val="00773C02"/>
    <w:rsid w:val="00776015"/>
    <w:rsid w:val="00777C50"/>
    <w:rsid w:val="007831A1"/>
    <w:rsid w:val="00783B98"/>
    <w:rsid w:val="00784973"/>
    <w:rsid w:val="00787E20"/>
    <w:rsid w:val="00792EAE"/>
    <w:rsid w:val="00795D35"/>
    <w:rsid w:val="00796C25"/>
    <w:rsid w:val="007A0349"/>
    <w:rsid w:val="007A46EE"/>
    <w:rsid w:val="007A70F2"/>
    <w:rsid w:val="007B1E2D"/>
    <w:rsid w:val="007B4976"/>
    <w:rsid w:val="007C1881"/>
    <w:rsid w:val="007C2FA4"/>
    <w:rsid w:val="007C3155"/>
    <w:rsid w:val="007C6863"/>
    <w:rsid w:val="007D3480"/>
    <w:rsid w:val="007D38F5"/>
    <w:rsid w:val="007D5677"/>
    <w:rsid w:val="007D6FD0"/>
    <w:rsid w:val="007E07BB"/>
    <w:rsid w:val="007E3E4E"/>
    <w:rsid w:val="007F044B"/>
    <w:rsid w:val="007F36B4"/>
    <w:rsid w:val="007F4339"/>
    <w:rsid w:val="007F4CEE"/>
    <w:rsid w:val="007F7859"/>
    <w:rsid w:val="007F7D9C"/>
    <w:rsid w:val="008011CE"/>
    <w:rsid w:val="008014C4"/>
    <w:rsid w:val="00806C29"/>
    <w:rsid w:val="008114C6"/>
    <w:rsid w:val="00811F69"/>
    <w:rsid w:val="0081784C"/>
    <w:rsid w:val="00821BB7"/>
    <w:rsid w:val="00827C1E"/>
    <w:rsid w:val="00831F25"/>
    <w:rsid w:val="00836724"/>
    <w:rsid w:val="00841D33"/>
    <w:rsid w:val="00847121"/>
    <w:rsid w:val="00850575"/>
    <w:rsid w:val="0085502F"/>
    <w:rsid w:val="00855C39"/>
    <w:rsid w:val="00864F63"/>
    <w:rsid w:val="0087327B"/>
    <w:rsid w:val="00874764"/>
    <w:rsid w:val="00877CB9"/>
    <w:rsid w:val="00877D82"/>
    <w:rsid w:val="00883E6D"/>
    <w:rsid w:val="00885646"/>
    <w:rsid w:val="0088688B"/>
    <w:rsid w:val="0089477D"/>
    <w:rsid w:val="00897A49"/>
    <w:rsid w:val="008A2E1D"/>
    <w:rsid w:val="008A3215"/>
    <w:rsid w:val="008B0291"/>
    <w:rsid w:val="008B0C31"/>
    <w:rsid w:val="008C0C0F"/>
    <w:rsid w:val="008C3AA7"/>
    <w:rsid w:val="008C5625"/>
    <w:rsid w:val="008C6DD1"/>
    <w:rsid w:val="008C7141"/>
    <w:rsid w:val="008D3855"/>
    <w:rsid w:val="008D65E7"/>
    <w:rsid w:val="008D78F4"/>
    <w:rsid w:val="008E0837"/>
    <w:rsid w:val="008E0BCB"/>
    <w:rsid w:val="008E2AD2"/>
    <w:rsid w:val="008E33D3"/>
    <w:rsid w:val="008E6975"/>
    <w:rsid w:val="008E724F"/>
    <w:rsid w:val="008F0D15"/>
    <w:rsid w:val="008F52BF"/>
    <w:rsid w:val="008F7C63"/>
    <w:rsid w:val="008F7E0F"/>
    <w:rsid w:val="00910438"/>
    <w:rsid w:val="0091096D"/>
    <w:rsid w:val="009109C3"/>
    <w:rsid w:val="00910B79"/>
    <w:rsid w:val="00911A02"/>
    <w:rsid w:val="00911BAD"/>
    <w:rsid w:val="009145AE"/>
    <w:rsid w:val="00915338"/>
    <w:rsid w:val="009167ED"/>
    <w:rsid w:val="009226A6"/>
    <w:rsid w:val="00930936"/>
    <w:rsid w:val="00932E37"/>
    <w:rsid w:val="009337ED"/>
    <w:rsid w:val="00935C15"/>
    <w:rsid w:val="0093688D"/>
    <w:rsid w:val="00936E35"/>
    <w:rsid w:val="00937512"/>
    <w:rsid w:val="0093754B"/>
    <w:rsid w:val="00947C93"/>
    <w:rsid w:val="00953906"/>
    <w:rsid w:val="00953AF4"/>
    <w:rsid w:val="00960AE5"/>
    <w:rsid w:val="009644B2"/>
    <w:rsid w:val="0096761B"/>
    <w:rsid w:val="0097219F"/>
    <w:rsid w:val="00976A18"/>
    <w:rsid w:val="00976D13"/>
    <w:rsid w:val="00980C60"/>
    <w:rsid w:val="00981262"/>
    <w:rsid w:val="009833FB"/>
    <w:rsid w:val="00984A4E"/>
    <w:rsid w:val="00986413"/>
    <w:rsid w:val="00996F72"/>
    <w:rsid w:val="00997117"/>
    <w:rsid w:val="009A0AD3"/>
    <w:rsid w:val="009A39FB"/>
    <w:rsid w:val="009A44D3"/>
    <w:rsid w:val="009A7636"/>
    <w:rsid w:val="009B1626"/>
    <w:rsid w:val="009B406D"/>
    <w:rsid w:val="009B5F35"/>
    <w:rsid w:val="009B7154"/>
    <w:rsid w:val="009B79BD"/>
    <w:rsid w:val="009C1D51"/>
    <w:rsid w:val="009C5A76"/>
    <w:rsid w:val="009D0720"/>
    <w:rsid w:val="009E1E4A"/>
    <w:rsid w:val="00A0261D"/>
    <w:rsid w:val="00A03F16"/>
    <w:rsid w:val="00A131EE"/>
    <w:rsid w:val="00A13325"/>
    <w:rsid w:val="00A15CFA"/>
    <w:rsid w:val="00A15ED8"/>
    <w:rsid w:val="00A2014D"/>
    <w:rsid w:val="00A205FE"/>
    <w:rsid w:val="00A20CD3"/>
    <w:rsid w:val="00A211EE"/>
    <w:rsid w:val="00A238CE"/>
    <w:rsid w:val="00A23EDD"/>
    <w:rsid w:val="00A251CB"/>
    <w:rsid w:val="00A268C2"/>
    <w:rsid w:val="00A32A0B"/>
    <w:rsid w:val="00A32D95"/>
    <w:rsid w:val="00A348F9"/>
    <w:rsid w:val="00A36E6D"/>
    <w:rsid w:val="00A37AD6"/>
    <w:rsid w:val="00A47C11"/>
    <w:rsid w:val="00A50253"/>
    <w:rsid w:val="00A50583"/>
    <w:rsid w:val="00A51A55"/>
    <w:rsid w:val="00A527B2"/>
    <w:rsid w:val="00A52C55"/>
    <w:rsid w:val="00A541B9"/>
    <w:rsid w:val="00A704FE"/>
    <w:rsid w:val="00A73D0E"/>
    <w:rsid w:val="00A751FC"/>
    <w:rsid w:val="00A800BB"/>
    <w:rsid w:val="00A83774"/>
    <w:rsid w:val="00A90295"/>
    <w:rsid w:val="00A9144E"/>
    <w:rsid w:val="00A938D4"/>
    <w:rsid w:val="00A959B5"/>
    <w:rsid w:val="00AA52DA"/>
    <w:rsid w:val="00AA57C3"/>
    <w:rsid w:val="00AB0491"/>
    <w:rsid w:val="00AB2D14"/>
    <w:rsid w:val="00AB4F5C"/>
    <w:rsid w:val="00AB7684"/>
    <w:rsid w:val="00AC2552"/>
    <w:rsid w:val="00AC2608"/>
    <w:rsid w:val="00AC2865"/>
    <w:rsid w:val="00AC2980"/>
    <w:rsid w:val="00AC29A7"/>
    <w:rsid w:val="00AC57D4"/>
    <w:rsid w:val="00AD04D6"/>
    <w:rsid w:val="00AD3FF1"/>
    <w:rsid w:val="00AD4CD4"/>
    <w:rsid w:val="00AE2800"/>
    <w:rsid w:val="00AE7CB4"/>
    <w:rsid w:val="00AF116C"/>
    <w:rsid w:val="00AF361D"/>
    <w:rsid w:val="00AF5307"/>
    <w:rsid w:val="00B00048"/>
    <w:rsid w:val="00B0339C"/>
    <w:rsid w:val="00B048F2"/>
    <w:rsid w:val="00B079C9"/>
    <w:rsid w:val="00B11C1D"/>
    <w:rsid w:val="00B20736"/>
    <w:rsid w:val="00B222E6"/>
    <w:rsid w:val="00B31928"/>
    <w:rsid w:val="00B32471"/>
    <w:rsid w:val="00B3267D"/>
    <w:rsid w:val="00B326F3"/>
    <w:rsid w:val="00B33060"/>
    <w:rsid w:val="00B35F86"/>
    <w:rsid w:val="00B362B7"/>
    <w:rsid w:val="00B3646E"/>
    <w:rsid w:val="00B40D58"/>
    <w:rsid w:val="00B41088"/>
    <w:rsid w:val="00B46A36"/>
    <w:rsid w:val="00B532FF"/>
    <w:rsid w:val="00B54111"/>
    <w:rsid w:val="00B550EC"/>
    <w:rsid w:val="00B55772"/>
    <w:rsid w:val="00B60E5D"/>
    <w:rsid w:val="00B641C5"/>
    <w:rsid w:val="00B65841"/>
    <w:rsid w:val="00B719AB"/>
    <w:rsid w:val="00B7396A"/>
    <w:rsid w:val="00B74F91"/>
    <w:rsid w:val="00B7778C"/>
    <w:rsid w:val="00B82B52"/>
    <w:rsid w:val="00B82EF2"/>
    <w:rsid w:val="00B9029F"/>
    <w:rsid w:val="00B9065E"/>
    <w:rsid w:val="00B95683"/>
    <w:rsid w:val="00B9580C"/>
    <w:rsid w:val="00B96B6C"/>
    <w:rsid w:val="00BA186F"/>
    <w:rsid w:val="00BA1C3E"/>
    <w:rsid w:val="00BA2AB7"/>
    <w:rsid w:val="00BB5768"/>
    <w:rsid w:val="00BC1524"/>
    <w:rsid w:val="00BC211A"/>
    <w:rsid w:val="00BC3E4C"/>
    <w:rsid w:val="00BC514D"/>
    <w:rsid w:val="00BC5B66"/>
    <w:rsid w:val="00BD384D"/>
    <w:rsid w:val="00BE07AD"/>
    <w:rsid w:val="00BF0047"/>
    <w:rsid w:val="00BF170C"/>
    <w:rsid w:val="00BF493B"/>
    <w:rsid w:val="00C0252A"/>
    <w:rsid w:val="00C0367C"/>
    <w:rsid w:val="00C16052"/>
    <w:rsid w:val="00C160A0"/>
    <w:rsid w:val="00C2479A"/>
    <w:rsid w:val="00C306A1"/>
    <w:rsid w:val="00C3603F"/>
    <w:rsid w:val="00C3622A"/>
    <w:rsid w:val="00C400C5"/>
    <w:rsid w:val="00C40111"/>
    <w:rsid w:val="00C461D7"/>
    <w:rsid w:val="00C50DFC"/>
    <w:rsid w:val="00C517CD"/>
    <w:rsid w:val="00C51E28"/>
    <w:rsid w:val="00C541D4"/>
    <w:rsid w:val="00C57EF2"/>
    <w:rsid w:val="00C64BD2"/>
    <w:rsid w:val="00C6744E"/>
    <w:rsid w:val="00C72E0B"/>
    <w:rsid w:val="00C73913"/>
    <w:rsid w:val="00C73F61"/>
    <w:rsid w:val="00C756B2"/>
    <w:rsid w:val="00C76592"/>
    <w:rsid w:val="00C77B85"/>
    <w:rsid w:val="00C804DF"/>
    <w:rsid w:val="00C805AA"/>
    <w:rsid w:val="00C8211A"/>
    <w:rsid w:val="00C82F35"/>
    <w:rsid w:val="00C82FDD"/>
    <w:rsid w:val="00C83B54"/>
    <w:rsid w:val="00C942E3"/>
    <w:rsid w:val="00CA0FB8"/>
    <w:rsid w:val="00CA5FD1"/>
    <w:rsid w:val="00CA6FF8"/>
    <w:rsid w:val="00CB210F"/>
    <w:rsid w:val="00CB4ADF"/>
    <w:rsid w:val="00CB6840"/>
    <w:rsid w:val="00CC0452"/>
    <w:rsid w:val="00CC0DF1"/>
    <w:rsid w:val="00CC0F43"/>
    <w:rsid w:val="00CC1462"/>
    <w:rsid w:val="00CC45E1"/>
    <w:rsid w:val="00CC5619"/>
    <w:rsid w:val="00CD1094"/>
    <w:rsid w:val="00CD114A"/>
    <w:rsid w:val="00CD62BB"/>
    <w:rsid w:val="00CD6792"/>
    <w:rsid w:val="00CE1F6C"/>
    <w:rsid w:val="00CE209B"/>
    <w:rsid w:val="00CE7470"/>
    <w:rsid w:val="00CE77DA"/>
    <w:rsid w:val="00CF0BA1"/>
    <w:rsid w:val="00CF3E52"/>
    <w:rsid w:val="00CF46D2"/>
    <w:rsid w:val="00D0225A"/>
    <w:rsid w:val="00D06509"/>
    <w:rsid w:val="00D07347"/>
    <w:rsid w:val="00D07936"/>
    <w:rsid w:val="00D108BC"/>
    <w:rsid w:val="00D11FBC"/>
    <w:rsid w:val="00D11FC4"/>
    <w:rsid w:val="00D1214C"/>
    <w:rsid w:val="00D124E0"/>
    <w:rsid w:val="00D15ACA"/>
    <w:rsid w:val="00D202AE"/>
    <w:rsid w:val="00D22041"/>
    <w:rsid w:val="00D254D4"/>
    <w:rsid w:val="00D257E4"/>
    <w:rsid w:val="00D25B1D"/>
    <w:rsid w:val="00D26D8B"/>
    <w:rsid w:val="00D32A2C"/>
    <w:rsid w:val="00D33DCA"/>
    <w:rsid w:val="00D342DE"/>
    <w:rsid w:val="00D35918"/>
    <w:rsid w:val="00D378AD"/>
    <w:rsid w:val="00D41CF5"/>
    <w:rsid w:val="00D4600B"/>
    <w:rsid w:val="00D50A26"/>
    <w:rsid w:val="00D53FD1"/>
    <w:rsid w:val="00D57B73"/>
    <w:rsid w:val="00D57BB1"/>
    <w:rsid w:val="00D6273C"/>
    <w:rsid w:val="00D64980"/>
    <w:rsid w:val="00D72259"/>
    <w:rsid w:val="00D74D5E"/>
    <w:rsid w:val="00D77589"/>
    <w:rsid w:val="00D82313"/>
    <w:rsid w:val="00D8341D"/>
    <w:rsid w:val="00D835D5"/>
    <w:rsid w:val="00D83C6F"/>
    <w:rsid w:val="00D84527"/>
    <w:rsid w:val="00D849C7"/>
    <w:rsid w:val="00D85868"/>
    <w:rsid w:val="00D9639A"/>
    <w:rsid w:val="00D979C6"/>
    <w:rsid w:val="00D97B7C"/>
    <w:rsid w:val="00DA0E85"/>
    <w:rsid w:val="00DB0C2F"/>
    <w:rsid w:val="00DB0CD5"/>
    <w:rsid w:val="00DB1524"/>
    <w:rsid w:val="00DB3C9D"/>
    <w:rsid w:val="00DB672A"/>
    <w:rsid w:val="00DB74C6"/>
    <w:rsid w:val="00DB7693"/>
    <w:rsid w:val="00DC13A6"/>
    <w:rsid w:val="00DC31C3"/>
    <w:rsid w:val="00DC3F36"/>
    <w:rsid w:val="00DC553E"/>
    <w:rsid w:val="00DC5B32"/>
    <w:rsid w:val="00DD0840"/>
    <w:rsid w:val="00DD1882"/>
    <w:rsid w:val="00DD1E3D"/>
    <w:rsid w:val="00DD34E0"/>
    <w:rsid w:val="00DD7120"/>
    <w:rsid w:val="00DE053A"/>
    <w:rsid w:val="00DE0E69"/>
    <w:rsid w:val="00DE3853"/>
    <w:rsid w:val="00DE59F6"/>
    <w:rsid w:val="00DE62EE"/>
    <w:rsid w:val="00DF4C8D"/>
    <w:rsid w:val="00DF5AA5"/>
    <w:rsid w:val="00DF72E1"/>
    <w:rsid w:val="00E0004F"/>
    <w:rsid w:val="00E01226"/>
    <w:rsid w:val="00E01449"/>
    <w:rsid w:val="00E029D5"/>
    <w:rsid w:val="00E03FCC"/>
    <w:rsid w:val="00E042AD"/>
    <w:rsid w:val="00E04AD2"/>
    <w:rsid w:val="00E071CA"/>
    <w:rsid w:val="00E11329"/>
    <w:rsid w:val="00E14E2A"/>
    <w:rsid w:val="00E20DA1"/>
    <w:rsid w:val="00E22417"/>
    <w:rsid w:val="00E25998"/>
    <w:rsid w:val="00E33334"/>
    <w:rsid w:val="00E36135"/>
    <w:rsid w:val="00E36E02"/>
    <w:rsid w:val="00E42878"/>
    <w:rsid w:val="00E43A46"/>
    <w:rsid w:val="00E43BC6"/>
    <w:rsid w:val="00E4544C"/>
    <w:rsid w:val="00E47BF0"/>
    <w:rsid w:val="00E500BF"/>
    <w:rsid w:val="00E51DCD"/>
    <w:rsid w:val="00E56F18"/>
    <w:rsid w:val="00E64638"/>
    <w:rsid w:val="00E73E44"/>
    <w:rsid w:val="00E7406A"/>
    <w:rsid w:val="00E81447"/>
    <w:rsid w:val="00E872CA"/>
    <w:rsid w:val="00E92D22"/>
    <w:rsid w:val="00E95D15"/>
    <w:rsid w:val="00E96762"/>
    <w:rsid w:val="00EA2524"/>
    <w:rsid w:val="00EB0597"/>
    <w:rsid w:val="00EB0A98"/>
    <w:rsid w:val="00EB4C88"/>
    <w:rsid w:val="00EB55A1"/>
    <w:rsid w:val="00EC0480"/>
    <w:rsid w:val="00EC49EE"/>
    <w:rsid w:val="00EC49F7"/>
    <w:rsid w:val="00EC4AA1"/>
    <w:rsid w:val="00EC5115"/>
    <w:rsid w:val="00EC7316"/>
    <w:rsid w:val="00EC7473"/>
    <w:rsid w:val="00ED454B"/>
    <w:rsid w:val="00ED6D96"/>
    <w:rsid w:val="00EE19CD"/>
    <w:rsid w:val="00EE3230"/>
    <w:rsid w:val="00EE32B5"/>
    <w:rsid w:val="00EE643B"/>
    <w:rsid w:val="00EE64E4"/>
    <w:rsid w:val="00F018BF"/>
    <w:rsid w:val="00F061E1"/>
    <w:rsid w:val="00F07320"/>
    <w:rsid w:val="00F12A21"/>
    <w:rsid w:val="00F139B5"/>
    <w:rsid w:val="00F14A6B"/>
    <w:rsid w:val="00F2135D"/>
    <w:rsid w:val="00F21E1C"/>
    <w:rsid w:val="00F22BC2"/>
    <w:rsid w:val="00F2487F"/>
    <w:rsid w:val="00F248A3"/>
    <w:rsid w:val="00F301EA"/>
    <w:rsid w:val="00F34034"/>
    <w:rsid w:val="00F344BB"/>
    <w:rsid w:val="00F37EF0"/>
    <w:rsid w:val="00F401C7"/>
    <w:rsid w:val="00F4192C"/>
    <w:rsid w:val="00F50646"/>
    <w:rsid w:val="00F51D7D"/>
    <w:rsid w:val="00F54540"/>
    <w:rsid w:val="00F57C27"/>
    <w:rsid w:val="00F60CFE"/>
    <w:rsid w:val="00F71A76"/>
    <w:rsid w:val="00F76144"/>
    <w:rsid w:val="00F82B17"/>
    <w:rsid w:val="00F840CC"/>
    <w:rsid w:val="00F84B8F"/>
    <w:rsid w:val="00F874A9"/>
    <w:rsid w:val="00F96B1E"/>
    <w:rsid w:val="00FA2CBB"/>
    <w:rsid w:val="00FA652E"/>
    <w:rsid w:val="00FB300D"/>
    <w:rsid w:val="00FB55D2"/>
    <w:rsid w:val="00FB6208"/>
    <w:rsid w:val="00FB784A"/>
    <w:rsid w:val="00FC0573"/>
    <w:rsid w:val="00FC4F34"/>
    <w:rsid w:val="00FC6FD8"/>
    <w:rsid w:val="00FD28B4"/>
    <w:rsid w:val="00FD5B9E"/>
    <w:rsid w:val="00FF482E"/>
    <w:rsid w:val="00FF73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NZ" w:eastAsia="en-N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CD5"/>
    <w:pPr>
      <w:spacing w:after="200" w:line="276" w:lineRule="auto"/>
    </w:pPr>
    <w:rPr>
      <w:lang w:eastAsia="en-US"/>
    </w:rPr>
  </w:style>
  <w:style w:type="paragraph" w:styleId="Heading2">
    <w:name w:val="heading 2"/>
    <w:basedOn w:val="Normal"/>
    <w:next w:val="Normal"/>
    <w:link w:val="Heading2Char"/>
    <w:uiPriority w:val="99"/>
    <w:qFormat/>
    <w:rsid w:val="00C3622A"/>
    <w:pPr>
      <w:keepNext/>
      <w:spacing w:after="0" w:line="240" w:lineRule="auto"/>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9"/>
    <w:qFormat/>
    <w:rsid w:val="00C3622A"/>
    <w:pPr>
      <w:keepNext/>
      <w:spacing w:after="0" w:line="240" w:lineRule="auto"/>
      <w:outlineLvl w:val="2"/>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3622A"/>
    <w:rPr>
      <w:rFonts w:ascii="Times New Roman" w:hAnsi="Times New Roman" w:cs="Times New Roman"/>
      <w:b/>
      <w:bCs/>
      <w:sz w:val="24"/>
      <w:szCs w:val="24"/>
    </w:rPr>
  </w:style>
  <w:style w:type="character" w:customStyle="1" w:styleId="Heading3Char">
    <w:name w:val="Heading 3 Char"/>
    <w:basedOn w:val="DefaultParagraphFont"/>
    <w:link w:val="Heading3"/>
    <w:uiPriority w:val="99"/>
    <w:locked/>
    <w:rsid w:val="00C3622A"/>
    <w:rPr>
      <w:rFonts w:ascii="Times New Roman" w:hAnsi="Times New Roman" w:cs="Times New Roman"/>
      <w:b/>
      <w:bCs/>
      <w:sz w:val="24"/>
      <w:szCs w:val="24"/>
    </w:rPr>
  </w:style>
  <w:style w:type="paragraph" w:styleId="BalloonText">
    <w:name w:val="Balloon Text"/>
    <w:basedOn w:val="Normal"/>
    <w:link w:val="BalloonTextChar"/>
    <w:uiPriority w:val="99"/>
    <w:semiHidden/>
    <w:rsid w:val="003A7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7E5E"/>
    <w:rPr>
      <w:rFonts w:ascii="Tahoma" w:hAnsi="Tahoma" w:cs="Tahoma"/>
      <w:sz w:val="16"/>
      <w:szCs w:val="16"/>
    </w:rPr>
  </w:style>
  <w:style w:type="character" w:styleId="Hyperlink">
    <w:name w:val="Hyperlink"/>
    <w:basedOn w:val="DefaultParagraphFont"/>
    <w:uiPriority w:val="99"/>
    <w:rsid w:val="005142EA"/>
    <w:rPr>
      <w:rFonts w:cs="Times New Roman"/>
      <w:color w:val="0000FF"/>
      <w:u w:val="single"/>
    </w:rPr>
  </w:style>
  <w:style w:type="paragraph" w:styleId="NoSpacing">
    <w:name w:val="No Spacing"/>
    <w:uiPriority w:val="1"/>
    <w:qFormat/>
    <w:rsid w:val="005B166B"/>
    <w:rPr>
      <w:rFonts w:asciiTheme="minorHAnsi" w:eastAsiaTheme="minorHAnsi" w:hAnsiTheme="minorHAnsi" w:cstheme="minorBidi"/>
      <w:lang w:eastAsia="en-US"/>
    </w:rPr>
  </w:style>
  <w:style w:type="character" w:customStyle="1" w:styleId="apple-converted-space">
    <w:name w:val="apple-converted-space"/>
    <w:basedOn w:val="DefaultParagraphFont"/>
    <w:rsid w:val="00700352"/>
  </w:style>
  <w:style w:type="character" w:styleId="CommentReference">
    <w:name w:val="annotation reference"/>
    <w:basedOn w:val="DefaultParagraphFont"/>
    <w:uiPriority w:val="99"/>
    <w:semiHidden/>
    <w:unhideWhenUsed/>
    <w:rsid w:val="003E6E33"/>
    <w:rPr>
      <w:sz w:val="16"/>
      <w:szCs w:val="16"/>
    </w:rPr>
  </w:style>
  <w:style w:type="paragraph" w:styleId="CommentText">
    <w:name w:val="annotation text"/>
    <w:basedOn w:val="Normal"/>
    <w:link w:val="CommentTextChar"/>
    <w:uiPriority w:val="99"/>
    <w:semiHidden/>
    <w:unhideWhenUsed/>
    <w:rsid w:val="003E6E33"/>
    <w:pPr>
      <w:spacing w:line="240" w:lineRule="auto"/>
    </w:pPr>
    <w:rPr>
      <w:sz w:val="20"/>
      <w:szCs w:val="20"/>
    </w:rPr>
  </w:style>
  <w:style w:type="character" w:customStyle="1" w:styleId="CommentTextChar">
    <w:name w:val="Comment Text Char"/>
    <w:basedOn w:val="DefaultParagraphFont"/>
    <w:link w:val="CommentText"/>
    <w:uiPriority w:val="99"/>
    <w:semiHidden/>
    <w:rsid w:val="003E6E33"/>
    <w:rPr>
      <w:sz w:val="20"/>
      <w:szCs w:val="20"/>
      <w:lang w:eastAsia="en-US"/>
    </w:rPr>
  </w:style>
  <w:style w:type="paragraph" w:styleId="CommentSubject">
    <w:name w:val="annotation subject"/>
    <w:basedOn w:val="CommentText"/>
    <w:next w:val="CommentText"/>
    <w:link w:val="CommentSubjectChar"/>
    <w:uiPriority w:val="99"/>
    <w:semiHidden/>
    <w:unhideWhenUsed/>
    <w:rsid w:val="003E6E33"/>
    <w:rPr>
      <w:b/>
      <w:bCs/>
    </w:rPr>
  </w:style>
  <w:style w:type="character" w:customStyle="1" w:styleId="CommentSubjectChar">
    <w:name w:val="Comment Subject Char"/>
    <w:basedOn w:val="CommentTextChar"/>
    <w:link w:val="CommentSubject"/>
    <w:uiPriority w:val="99"/>
    <w:semiHidden/>
    <w:rsid w:val="003E6E33"/>
    <w:rPr>
      <w:b/>
      <w:bCs/>
    </w:rPr>
  </w:style>
  <w:style w:type="paragraph" w:styleId="NormalWeb">
    <w:name w:val="Normal (Web)"/>
    <w:basedOn w:val="Normal"/>
    <w:uiPriority w:val="99"/>
    <w:unhideWhenUsed/>
    <w:rsid w:val="0093754B"/>
    <w:pPr>
      <w:spacing w:before="100" w:beforeAutospacing="1" w:after="100" w:afterAutospacing="1" w:line="240" w:lineRule="auto"/>
    </w:pPr>
    <w:rPr>
      <w:rFonts w:ascii="Times New Roman" w:eastAsia="Times New Roman" w:hAnsi="Times New Roman"/>
      <w:sz w:val="24"/>
      <w:szCs w:val="24"/>
      <w:lang w:eastAsia="en-NZ"/>
    </w:rPr>
  </w:style>
</w:styles>
</file>

<file path=word/webSettings.xml><?xml version="1.0" encoding="utf-8"?>
<w:webSettings xmlns:r="http://schemas.openxmlformats.org/officeDocument/2006/relationships" xmlns:w="http://schemas.openxmlformats.org/wordprocessingml/2006/main">
  <w:divs>
    <w:div w:id="414087113">
      <w:bodyDiv w:val="1"/>
      <w:marLeft w:val="0"/>
      <w:marRight w:val="0"/>
      <w:marTop w:val="0"/>
      <w:marBottom w:val="0"/>
      <w:divBdr>
        <w:top w:val="none" w:sz="0" w:space="0" w:color="auto"/>
        <w:left w:val="none" w:sz="0" w:space="0" w:color="auto"/>
        <w:bottom w:val="none" w:sz="0" w:space="0" w:color="auto"/>
        <w:right w:val="none" w:sz="0" w:space="0" w:color="auto"/>
      </w:divBdr>
    </w:div>
    <w:div w:id="506528125">
      <w:bodyDiv w:val="1"/>
      <w:marLeft w:val="0"/>
      <w:marRight w:val="0"/>
      <w:marTop w:val="0"/>
      <w:marBottom w:val="0"/>
      <w:divBdr>
        <w:top w:val="none" w:sz="0" w:space="0" w:color="auto"/>
        <w:left w:val="none" w:sz="0" w:space="0" w:color="auto"/>
        <w:bottom w:val="none" w:sz="0" w:space="0" w:color="auto"/>
        <w:right w:val="none" w:sz="0" w:space="0" w:color="auto"/>
      </w:divBdr>
    </w:div>
    <w:div w:id="561451263">
      <w:bodyDiv w:val="1"/>
      <w:marLeft w:val="0"/>
      <w:marRight w:val="0"/>
      <w:marTop w:val="0"/>
      <w:marBottom w:val="0"/>
      <w:divBdr>
        <w:top w:val="none" w:sz="0" w:space="0" w:color="auto"/>
        <w:left w:val="none" w:sz="0" w:space="0" w:color="auto"/>
        <w:bottom w:val="none" w:sz="0" w:space="0" w:color="auto"/>
        <w:right w:val="none" w:sz="0" w:space="0" w:color="auto"/>
      </w:divBdr>
    </w:div>
    <w:div w:id="608700005">
      <w:bodyDiv w:val="1"/>
      <w:marLeft w:val="0"/>
      <w:marRight w:val="0"/>
      <w:marTop w:val="0"/>
      <w:marBottom w:val="0"/>
      <w:divBdr>
        <w:top w:val="none" w:sz="0" w:space="0" w:color="auto"/>
        <w:left w:val="none" w:sz="0" w:space="0" w:color="auto"/>
        <w:bottom w:val="none" w:sz="0" w:space="0" w:color="auto"/>
        <w:right w:val="none" w:sz="0" w:space="0" w:color="auto"/>
      </w:divBdr>
    </w:div>
    <w:div w:id="683481487">
      <w:bodyDiv w:val="1"/>
      <w:marLeft w:val="0"/>
      <w:marRight w:val="0"/>
      <w:marTop w:val="0"/>
      <w:marBottom w:val="0"/>
      <w:divBdr>
        <w:top w:val="none" w:sz="0" w:space="0" w:color="auto"/>
        <w:left w:val="none" w:sz="0" w:space="0" w:color="auto"/>
        <w:bottom w:val="none" w:sz="0" w:space="0" w:color="auto"/>
        <w:right w:val="none" w:sz="0" w:space="0" w:color="auto"/>
      </w:divBdr>
    </w:div>
    <w:div w:id="1216314742">
      <w:bodyDiv w:val="1"/>
      <w:marLeft w:val="0"/>
      <w:marRight w:val="0"/>
      <w:marTop w:val="0"/>
      <w:marBottom w:val="0"/>
      <w:divBdr>
        <w:top w:val="none" w:sz="0" w:space="0" w:color="auto"/>
        <w:left w:val="none" w:sz="0" w:space="0" w:color="auto"/>
        <w:bottom w:val="none" w:sz="0" w:space="0" w:color="auto"/>
        <w:right w:val="none" w:sz="0" w:space="0" w:color="auto"/>
      </w:divBdr>
    </w:div>
    <w:div w:id="1333265463">
      <w:bodyDiv w:val="1"/>
      <w:marLeft w:val="0"/>
      <w:marRight w:val="0"/>
      <w:marTop w:val="0"/>
      <w:marBottom w:val="0"/>
      <w:divBdr>
        <w:top w:val="none" w:sz="0" w:space="0" w:color="auto"/>
        <w:left w:val="none" w:sz="0" w:space="0" w:color="auto"/>
        <w:bottom w:val="none" w:sz="0" w:space="0" w:color="auto"/>
        <w:right w:val="none" w:sz="0" w:space="0" w:color="auto"/>
      </w:divBdr>
    </w:div>
    <w:div w:id="1373923375">
      <w:bodyDiv w:val="1"/>
      <w:marLeft w:val="0"/>
      <w:marRight w:val="0"/>
      <w:marTop w:val="0"/>
      <w:marBottom w:val="0"/>
      <w:divBdr>
        <w:top w:val="none" w:sz="0" w:space="0" w:color="auto"/>
        <w:left w:val="none" w:sz="0" w:space="0" w:color="auto"/>
        <w:bottom w:val="none" w:sz="0" w:space="0" w:color="auto"/>
        <w:right w:val="none" w:sz="0" w:space="0" w:color="auto"/>
      </w:divBdr>
    </w:div>
    <w:div w:id="1444039549">
      <w:bodyDiv w:val="1"/>
      <w:marLeft w:val="0"/>
      <w:marRight w:val="0"/>
      <w:marTop w:val="0"/>
      <w:marBottom w:val="0"/>
      <w:divBdr>
        <w:top w:val="none" w:sz="0" w:space="0" w:color="auto"/>
        <w:left w:val="none" w:sz="0" w:space="0" w:color="auto"/>
        <w:bottom w:val="none" w:sz="0" w:space="0" w:color="auto"/>
        <w:right w:val="none" w:sz="0" w:space="0" w:color="auto"/>
      </w:divBdr>
    </w:div>
    <w:div w:id="1444810884">
      <w:bodyDiv w:val="1"/>
      <w:marLeft w:val="0"/>
      <w:marRight w:val="0"/>
      <w:marTop w:val="0"/>
      <w:marBottom w:val="0"/>
      <w:divBdr>
        <w:top w:val="none" w:sz="0" w:space="0" w:color="auto"/>
        <w:left w:val="none" w:sz="0" w:space="0" w:color="auto"/>
        <w:bottom w:val="none" w:sz="0" w:space="0" w:color="auto"/>
        <w:right w:val="none" w:sz="0" w:space="0" w:color="auto"/>
      </w:divBdr>
    </w:div>
    <w:div w:id="152157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hyperlink" Target="mailto:jonno.ingerson@propertyiq.co.nz" TargetMode="Externa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piqwlgsv01\groups\Common\Stats\Property%20ValueMap\2013\May\rpmindex%20May20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NZ" sz="1600" b="1"/>
            </a:pPr>
            <a:r>
              <a:rPr lang="en-NZ" sz="1600" b="1"/>
              <a:t>NZ price index relative to peak</a:t>
            </a:r>
          </a:p>
        </c:rich>
      </c:tx>
      <c:overlay val="1"/>
    </c:title>
    <c:plotArea>
      <c:layout>
        <c:manualLayout>
          <c:layoutTarget val="inner"/>
          <c:xMode val="edge"/>
          <c:yMode val="edge"/>
          <c:x val="0.11505961754780585"/>
          <c:y val="9.7138693625441933E-2"/>
          <c:w val="0.85713302503853683"/>
          <c:h val="0.7742793180264349"/>
        </c:manualLayout>
      </c:layout>
      <c:lineChart>
        <c:grouping val="standard"/>
        <c:ser>
          <c:idx val="0"/>
          <c:order val="0"/>
          <c:tx>
            <c:strRef>
              <c:f>'chart data'!$A$125</c:f>
              <c:strCache>
                <c:ptCount val="1"/>
                <c:pt idx="0">
                  <c:v> Total NZ </c:v>
                </c:pt>
              </c:strCache>
            </c:strRef>
          </c:tx>
          <c:spPr>
            <a:ln w="38100">
              <a:solidFill>
                <a:srgbClr val="FF9900"/>
              </a:solidFill>
              <a:prstDash val="solid"/>
            </a:ln>
          </c:spPr>
          <c:marker>
            <c:symbol val="none"/>
          </c:marker>
          <c:dPt>
            <c:idx val="48"/>
            <c:marker>
              <c:symbol val="circle"/>
              <c:size val="8"/>
              <c:spPr>
                <a:solidFill>
                  <a:srgbClr val="0000FF"/>
                </a:solidFill>
              </c:spPr>
            </c:marker>
          </c:dPt>
          <c:dPt>
            <c:idx val="60"/>
            <c:marker>
              <c:symbol val="circle"/>
              <c:size val="8"/>
              <c:spPr>
                <a:solidFill>
                  <a:srgbClr val="0000FF"/>
                </a:solidFill>
              </c:spPr>
            </c:marker>
          </c:dPt>
          <c:cat>
            <c:strRef>
              <c:f>'chart data'!$U$3:$CC$3</c:f>
              <c:strCache>
                <c:ptCount val="61"/>
                <c:pt idx="0">
                  <c:v> May 08</c:v>
                </c:pt>
                <c:pt idx="1">
                  <c:v> Jun 08</c:v>
                </c:pt>
                <c:pt idx="2">
                  <c:v> Jul 08</c:v>
                </c:pt>
                <c:pt idx="3">
                  <c:v> Aug 08</c:v>
                </c:pt>
                <c:pt idx="4">
                  <c:v> Sep 08</c:v>
                </c:pt>
                <c:pt idx="5">
                  <c:v> Oct 08</c:v>
                </c:pt>
                <c:pt idx="6">
                  <c:v> Nov 08</c:v>
                </c:pt>
                <c:pt idx="7">
                  <c:v> Dec 08</c:v>
                </c:pt>
                <c:pt idx="8">
                  <c:v> Jan 09</c:v>
                </c:pt>
                <c:pt idx="9">
                  <c:v> Feb 09</c:v>
                </c:pt>
                <c:pt idx="10">
                  <c:v>Mar 09</c:v>
                </c:pt>
                <c:pt idx="11">
                  <c:v>Apr 09</c:v>
                </c:pt>
                <c:pt idx="12">
                  <c:v>May 09</c:v>
                </c:pt>
                <c:pt idx="13">
                  <c:v>Jun 09</c:v>
                </c:pt>
                <c:pt idx="14">
                  <c:v>Jul 09</c:v>
                </c:pt>
                <c:pt idx="15">
                  <c:v>Aug 09</c:v>
                </c:pt>
                <c:pt idx="16">
                  <c:v>Sep 09</c:v>
                </c:pt>
                <c:pt idx="17">
                  <c:v>Oct 09</c:v>
                </c:pt>
                <c:pt idx="18">
                  <c:v>Nov 09</c:v>
                </c:pt>
                <c:pt idx="19">
                  <c:v>Dec 09</c:v>
                </c:pt>
                <c:pt idx="20">
                  <c:v>Jan 10</c:v>
                </c:pt>
                <c:pt idx="21">
                  <c:v>Feb 10</c:v>
                </c:pt>
                <c:pt idx="22">
                  <c:v>Mar 10</c:v>
                </c:pt>
                <c:pt idx="23">
                  <c:v>Apr 10</c:v>
                </c:pt>
                <c:pt idx="24">
                  <c:v>May 10</c:v>
                </c:pt>
                <c:pt idx="25">
                  <c:v>Jun 10</c:v>
                </c:pt>
                <c:pt idx="26">
                  <c:v>Jul 10</c:v>
                </c:pt>
                <c:pt idx="27">
                  <c:v>Aug 10</c:v>
                </c:pt>
                <c:pt idx="28">
                  <c:v>Sep 10</c:v>
                </c:pt>
                <c:pt idx="29">
                  <c:v>Oct 10</c:v>
                </c:pt>
                <c:pt idx="30">
                  <c:v>Nov 10</c:v>
                </c:pt>
                <c:pt idx="31">
                  <c:v>Dec 10</c:v>
                </c:pt>
                <c:pt idx="32">
                  <c:v>Jan 11</c:v>
                </c:pt>
                <c:pt idx="33">
                  <c:v>Feb 11</c:v>
                </c:pt>
                <c:pt idx="34">
                  <c:v>Mar 11</c:v>
                </c:pt>
                <c:pt idx="35">
                  <c:v>Apr 11</c:v>
                </c:pt>
                <c:pt idx="36">
                  <c:v>May 11</c:v>
                </c:pt>
                <c:pt idx="37">
                  <c:v>Jun 11</c:v>
                </c:pt>
                <c:pt idx="38">
                  <c:v>Jul 11</c:v>
                </c:pt>
                <c:pt idx="39">
                  <c:v>Aug 11</c:v>
                </c:pt>
                <c:pt idx="40">
                  <c:v>Sep 11</c:v>
                </c:pt>
                <c:pt idx="41">
                  <c:v>Oct 11</c:v>
                </c:pt>
                <c:pt idx="42">
                  <c:v>Nov 11</c:v>
                </c:pt>
                <c:pt idx="43">
                  <c:v>Dec 11</c:v>
                </c:pt>
                <c:pt idx="44">
                  <c:v>Jan 12</c:v>
                </c:pt>
                <c:pt idx="45">
                  <c:v>Feb 12</c:v>
                </c:pt>
                <c:pt idx="46">
                  <c:v>Mar 12</c:v>
                </c:pt>
                <c:pt idx="47">
                  <c:v>Apr 12</c:v>
                </c:pt>
                <c:pt idx="48">
                  <c:v>May 12</c:v>
                </c:pt>
                <c:pt idx="49">
                  <c:v>Jun 12</c:v>
                </c:pt>
                <c:pt idx="50">
                  <c:v>Jul 12</c:v>
                </c:pt>
                <c:pt idx="51">
                  <c:v>Aug 12</c:v>
                </c:pt>
                <c:pt idx="52">
                  <c:v>Sep 12</c:v>
                </c:pt>
                <c:pt idx="53">
                  <c:v>Oct 12</c:v>
                </c:pt>
                <c:pt idx="54">
                  <c:v>Nov 12</c:v>
                </c:pt>
                <c:pt idx="55">
                  <c:v>Dec 12</c:v>
                </c:pt>
                <c:pt idx="56">
                  <c:v>Jan 13</c:v>
                </c:pt>
                <c:pt idx="57">
                  <c:v>Feb 13</c:v>
                </c:pt>
                <c:pt idx="58">
                  <c:v>Mar 13</c:v>
                </c:pt>
                <c:pt idx="59">
                  <c:v>Apr 13</c:v>
                </c:pt>
                <c:pt idx="60">
                  <c:v>May 13</c:v>
                </c:pt>
              </c:strCache>
            </c:strRef>
          </c:cat>
          <c:val>
            <c:numRef>
              <c:f>'chart data'!$U$125:$CC$125</c:f>
              <c:numCache>
                <c:formatCode>0.0%</c:formatCode>
                <c:ptCount val="61"/>
                <c:pt idx="0">
                  <c:v>0.98652799886729836</c:v>
                </c:pt>
                <c:pt idx="1">
                  <c:v>0.97781947871182262</c:v>
                </c:pt>
                <c:pt idx="2">
                  <c:v>0.96311512067100302</c:v>
                </c:pt>
                <c:pt idx="3">
                  <c:v>0.94814839437095755</c:v>
                </c:pt>
                <c:pt idx="4">
                  <c:v>0.93834225381185676</c:v>
                </c:pt>
                <c:pt idx="5">
                  <c:v>0.93248844748657533</c:v>
                </c:pt>
                <c:pt idx="6">
                  <c:v>0.9315497324237072</c:v>
                </c:pt>
                <c:pt idx="7">
                  <c:v>0.92497143192806064</c:v>
                </c:pt>
                <c:pt idx="8">
                  <c:v>0.91642657475827038</c:v>
                </c:pt>
                <c:pt idx="9">
                  <c:v>0.90966171114599481</c:v>
                </c:pt>
                <c:pt idx="10">
                  <c:v>0.90522124254207581</c:v>
                </c:pt>
                <c:pt idx="11">
                  <c:v>0.90395253722666857</c:v>
                </c:pt>
                <c:pt idx="12">
                  <c:v>0.90712430051518422</c:v>
                </c:pt>
                <c:pt idx="13">
                  <c:v>0.90902735848829264</c:v>
                </c:pt>
                <c:pt idx="14">
                  <c:v>0.91537088506532116</c:v>
                </c:pt>
                <c:pt idx="15">
                  <c:v>0.92108005898464751</c:v>
                </c:pt>
                <c:pt idx="16">
                  <c:v>0.9286922908770826</c:v>
                </c:pt>
                <c:pt idx="17">
                  <c:v>0.93440146479640851</c:v>
                </c:pt>
                <c:pt idx="18">
                  <c:v>0.94074499137343937</c:v>
                </c:pt>
                <c:pt idx="19">
                  <c:v>0.9502602812389821</c:v>
                </c:pt>
                <c:pt idx="20">
                  <c:v>0.9563563468442402</c:v>
                </c:pt>
                <c:pt idx="21">
                  <c:v>0.95977557110452716</c:v>
                </c:pt>
                <c:pt idx="22">
                  <c:v>0.96040992376222856</c:v>
                </c:pt>
                <c:pt idx="23">
                  <c:v>0.95977557110452716</c:v>
                </c:pt>
                <c:pt idx="24">
                  <c:v>0.95850686578911959</c:v>
                </c:pt>
                <c:pt idx="25">
                  <c:v>0.95596945515830956</c:v>
                </c:pt>
                <c:pt idx="26">
                  <c:v>0.9527976918697949</c:v>
                </c:pt>
                <c:pt idx="27">
                  <c:v>0.94962592858128037</c:v>
                </c:pt>
                <c:pt idx="28">
                  <c:v>0.94708851795046745</c:v>
                </c:pt>
                <c:pt idx="29">
                  <c:v>0.94518545997735859</c:v>
                </c:pt>
                <c:pt idx="30">
                  <c:v>0.94391675466195257</c:v>
                </c:pt>
                <c:pt idx="31">
                  <c:v>0.94201369668884538</c:v>
                </c:pt>
                <c:pt idx="32">
                  <c:v>0.94192640976314412</c:v>
                </c:pt>
                <c:pt idx="33">
                  <c:v>0.94328240200424951</c:v>
                </c:pt>
                <c:pt idx="34">
                  <c:v>0.9413793440311411</c:v>
                </c:pt>
                <c:pt idx="35">
                  <c:v>0.94201369668884538</c:v>
                </c:pt>
                <c:pt idx="36">
                  <c:v>0.94328240200424951</c:v>
                </c:pt>
                <c:pt idx="37">
                  <c:v>0.94772287060817295</c:v>
                </c:pt>
                <c:pt idx="38">
                  <c:v>0.94835722326587435</c:v>
                </c:pt>
                <c:pt idx="39">
                  <c:v>0.9502602812389821</c:v>
                </c:pt>
                <c:pt idx="40">
                  <c:v>0.9540663971851997</c:v>
                </c:pt>
                <c:pt idx="41">
                  <c:v>0.95614707390246523</c:v>
                </c:pt>
                <c:pt idx="42">
                  <c:v>0.96019868432721378</c:v>
                </c:pt>
                <c:pt idx="43">
                  <c:v>0.9650540195692735</c:v>
                </c:pt>
                <c:pt idx="44">
                  <c:v>0.96694058437328179</c:v>
                </c:pt>
                <c:pt idx="45">
                  <c:v>0.97054434182169014</c:v>
                </c:pt>
                <c:pt idx="46">
                  <c:v>0.96951034698963456</c:v>
                </c:pt>
                <c:pt idx="47">
                  <c:v>0.97088435484621916</c:v>
                </c:pt>
                <c:pt idx="48">
                  <c:v>0.98023915348936452</c:v>
                </c:pt>
                <c:pt idx="49">
                  <c:v>0.98713900734719962</c:v>
                </c:pt>
                <c:pt idx="50">
                  <c:v>0.99176534127982652</c:v>
                </c:pt>
                <c:pt idx="51">
                  <c:v>0.99602945984490587</c:v>
                </c:pt>
                <c:pt idx="52">
                  <c:v>1.0047296065452995</c:v>
                </c:pt>
                <c:pt idx="53">
                  <c:v>1.0110572743058881</c:v>
                </c:pt>
                <c:pt idx="54">
                  <c:v>1.0145449452179378</c:v>
                </c:pt>
                <c:pt idx="55">
                  <c:v>1.0198652609580934</c:v>
                </c:pt>
                <c:pt idx="56">
                  <c:v>1.026470140830096</c:v>
                </c:pt>
                <c:pt idx="57">
                  <c:v>1.031860869715256</c:v>
                </c:pt>
                <c:pt idx="58">
                  <c:v>1.0327508664940148</c:v>
                </c:pt>
                <c:pt idx="59">
                  <c:v>1.0397452388978452</c:v>
                </c:pt>
                <c:pt idx="60">
                  <c:v>1.0496849106913924</c:v>
                </c:pt>
              </c:numCache>
            </c:numRef>
          </c:val>
        </c:ser>
        <c:marker val="1"/>
        <c:axId val="95114752"/>
        <c:axId val="95116288"/>
      </c:lineChart>
      <c:catAx>
        <c:axId val="95114752"/>
        <c:scaling>
          <c:orientation val="minMax"/>
        </c:scaling>
        <c:axPos val="b"/>
        <c:numFmt formatCode="0" sourceLinked="1"/>
        <c:tickLblPos val="nextTo"/>
        <c:spPr>
          <a:ln w="3175">
            <a:solidFill>
              <a:srgbClr val="000000"/>
            </a:solidFill>
            <a:prstDash val="solid"/>
          </a:ln>
        </c:spPr>
        <c:txPr>
          <a:bodyPr rot="-2700000" vert="horz"/>
          <a:lstStyle/>
          <a:p>
            <a:pPr>
              <a:defRPr lang="en-NZ"/>
            </a:pPr>
            <a:endParaRPr lang="en-US"/>
          </a:p>
        </c:txPr>
        <c:crossAx val="95116288"/>
        <c:crosses val="autoZero"/>
        <c:auto val="1"/>
        <c:lblAlgn val="ctr"/>
        <c:lblOffset val="100"/>
        <c:tickLblSkip val="3"/>
        <c:tickMarkSkip val="3"/>
      </c:catAx>
      <c:valAx>
        <c:axId val="95116288"/>
        <c:scaling>
          <c:orientation val="minMax"/>
          <c:max val="1.1000000000000001"/>
          <c:min val="0.85000000000000064"/>
        </c:scaling>
        <c:axPos val="l"/>
        <c:majorGridlines>
          <c:spPr>
            <a:ln w="3175">
              <a:solidFill>
                <a:srgbClr val="C0C0C0"/>
              </a:solidFill>
              <a:prstDash val="solid"/>
            </a:ln>
          </c:spPr>
        </c:majorGridlines>
        <c:title>
          <c:tx>
            <c:rich>
              <a:bodyPr/>
              <a:lstStyle/>
              <a:p>
                <a:pPr>
                  <a:defRPr lang="en-NZ"/>
                </a:pPr>
                <a:r>
                  <a:rPr lang="en-NZ"/>
                  <a:t>QV residential price index relative to market peak</a:t>
                </a:r>
              </a:p>
            </c:rich>
          </c:tx>
          <c:layout>
            <c:manualLayout>
              <c:xMode val="edge"/>
              <c:yMode val="edge"/>
              <c:x val="1.141877560507914E-2"/>
              <c:y val="0.13829881558923188"/>
            </c:manualLayout>
          </c:layout>
        </c:title>
        <c:numFmt formatCode="0%" sourceLinked="0"/>
        <c:tickLblPos val="nextTo"/>
        <c:spPr>
          <a:ln w="3175">
            <a:solidFill>
              <a:srgbClr val="000000"/>
            </a:solidFill>
            <a:prstDash val="solid"/>
          </a:ln>
        </c:spPr>
        <c:txPr>
          <a:bodyPr rot="0" vert="horz"/>
          <a:lstStyle/>
          <a:p>
            <a:pPr>
              <a:defRPr lang="en-NZ"/>
            </a:pPr>
            <a:endParaRPr lang="en-US"/>
          </a:p>
        </c:txPr>
        <c:crossAx val="95114752"/>
        <c:crosses val="autoZero"/>
        <c:crossBetween val="midCat"/>
        <c:majorUnit val="5.0000000000000031E-2"/>
      </c:valAx>
      <c:spPr>
        <a:noFill/>
        <a:ln w="25400">
          <a:noFill/>
        </a:ln>
      </c:spPr>
    </c:plotArea>
    <c:plotVisOnly val="1"/>
    <c:dispBlanksAs val="gap"/>
  </c:chart>
  <c:spPr>
    <a:solidFill>
      <a:srgbClr val="FFFFFF"/>
    </a:solidFill>
    <a:ln w="3175">
      <a:noFill/>
      <a:prstDash val="solid"/>
    </a:ln>
  </c:spPr>
  <c:txPr>
    <a:bodyPr/>
    <a:lstStyle/>
    <a:p>
      <a:pPr>
        <a:defRPr sz="900" b="0" i="0" u="none" strike="noStrike" baseline="0">
          <a:solidFill>
            <a:srgbClr val="000000"/>
          </a:solidFill>
          <a:latin typeface="+mn-lt"/>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37875-6078-481C-AC39-BE6C11AE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1735</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ingersonj</dc:creator>
  <cp:lastModifiedBy>BH</cp:lastModifiedBy>
  <cp:revision>2</cp:revision>
  <cp:lastPrinted>2013-02-07T21:21:00Z</cp:lastPrinted>
  <dcterms:created xsi:type="dcterms:W3CDTF">2013-06-10T00:01:00Z</dcterms:created>
  <dcterms:modified xsi:type="dcterms:W3CDTF">2013-06-10T00:01:00Z</dcterms:modified>
</cp:coreProperties>
</file>